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733F" w14:textId="3E6741ED" w:rsidR="00B570DE" w:rsidRDefault="00B570DE" w:rsidP="00B570DE">
      <w:r>
        <w:t xml:space="preserve">Overall, my evaluation of this proposal in terms of the five Stage 1 criteria is favorable. In my assessment the proposed research is assessing a scientifically valid question, with an adequate rationale behind the hypotheses being tested, and a basically sound study design and analytic plan that has been explained with sufficient detail to allow other investigators to conduct close-to-exact replications of this work and prevent undisclosed flexibility in the analysis of the resulting data. For Criteria B – E, I did perceive areas </w:t>
      </w:r>
      <w:r w:rsidR="007E5BF1">
        <w:t>with</w:t>
      </w:r>
      <w:r>
        <w:t xml:space="preserve"> room for improvement, or at least where the current state of the proposal raised questions that I would encourage the authors to consider</w:t>
      </w:r>
      <w:r w:rsidR="007B341E">
        <w:t xml:space="preserve"> as they continue to plan this work</w:t>
      </w:r>
      <w:r>
        <w:t>.</w:t>
      </w:r>
      <w:r w:rsidR="007B341E">
        <w:t xml:space="preserve"> I have outlined these thoughts under the heading of each criterion below. All of these issues are </w:t>
      </w:r>
      <w:r w:rsidR="00741617">
        <w:t>quite</w:t>
      </w:r>
      <w:r w:rsidR="007B341E">
        <w:t xml:space="preserve"> minor in scope, and do not seriously compromise the basic soundness of this proposal.</w:t>
      </w:r>
      <w:bookmarkStart w:id="0" w:name="_GoBack"/>
      <w:bookmarkEnd w:id="0"/>
    </w:p>
    <w:p w14:paraId="5D288A87" w14:textId="634659D4" w:rsidR="007B341E" w:rsidRDefault="007B341E" w:rsidP="00B570DE">
      <w:r>
        <w:t xml:space="preserve">In the interest of transparency, I would like to acknowledge that this is </w:t>
      </w:r>
      <w:r w:rsidR="00741617">
        <w:t>the first</w:t>
      </w:r>
      <w:r>
        <w:t xml:space="preserve"> registered report </w:t>
      </w:r>
      <w:r w:rsidR="00741617">
        <w:t xml:space="preserve">I have reviewed </w:t>
      </w:r>
      <w:r>
        <w:t>– so forgive me if my comments are disorganized</w:t>
      </w:r>
      <w:r w:rsidR="00741617">
        <w:t xml:space="preserve">, </w:t>
      </w:r>
      <w:r>
        <w:t>insufficiently clear/precise</w:t>
      </w:r>
      <w:r w:rsidR="00741617">
        <w:t xml:space="preserve">, or not germane to the RR context. </w:t>
      </w:r>
      <w:r>
        <w:t>I am happy to communicate further with the authors if that would be helpful!</w:t>
      </w:r>
    </w:p>
    <w:p w14:paraId="280F2128" w14:textId="496556D0" w:rsidR="007B341E" w:rsidRDefault="007B341E" w:rsidP="00B570DE">
      <w:r w:rsidRPr="00FA4B71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66DC571" wp14:editId="01E05743">
            <wp:simplePos x="0" y="0"/>
            <wp:positionH relativeFrom="column">
              <wp:posOffset>676275</wp:posOffset>
            </wp:positionH>
            <wp:positionV relativeFrom="paragraph">
              <wp:posOffset>183515</wp:posOffset>
            </wp:positionV>
            <wp:extent cx="1257300" cy="335998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998"/>
                    </a:xfrm>
                    <a:prstGeom prst="rect">
                      <a:avLst/>
                    </a:prstGeom>
                    <a:solidFill>
                      <a:schemeClr val="bg1">
                        <a:alpha val="55000"/>
                      </a:schemeClr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Reviewer: Andrew G. Christy, Ph.D. (Assistant Professor, SUNY Plattsburgh; </w:t>
      </w:r>
      <w:hyperlink r:id="rId8" w:history="1">
        <w:r w:rsidRPr="00E17B1D">
          <w:rPr>
            <w:rStyle w:val="Hyperlink"/>
          </w:rPr>
          <w:t>achri021@plattsburgh.edu</w:t>
        </w:r>
      </w:hyperlink>
      <w:r>
        <w:t>)</w:t>
      </w:r>
      <w:r>
        <w:br/>
        <w:t>Signature:</w:t>
      </w:r>
      <w:r w:rsidRPr="007B341E">
        <w:rPr>
          <w:rFonts w:ascii="Arial" w:hAnsi="Arial" w:cs="Arial"/>
          <w:noProof/>
          <w:u w:val="single"/>
        </w:rPr>
        <w:t xml:space="preserve"> </w:t>
      </w:r>
      <w:r>
        <w:rPr>
          <w:rFonts w:ascii="Arial" w:hAnsi="Arial" w:cs="Arial"/>
          <w:noProof/>
          <w:u w:val="single"/>
        </w:rPr>
        <w:br/>
      </w:r>
    </w:p>
    <w:p w14:paraId="663AC5DF" w14:textId="1E5364C0" w:rsidR="00B607FC" w:rsidRDefault="00796466" w:rsidP="005559F2">
      <w:pPr>
        <w:pStyle w:val="ListParagraph"/>
        <w:numPr>
          <w:ilvl w:val="0"/>
          <w:numId w:val="1"/>
        </w:numPr>
        <w:rPr>
          <w:b/>
        </w:rPr>
      </w:pPr>
      <w:r w:rsidRPr="00796466">
        <w:rPr>
          <w:b/>
        </w:rPr>
        <w:t>Criterion 1A: The scientific validity of the research question(s).</w:t>
      </w:r>
    </w:p>
    <w:p w14:paraId="12455433" w14:textId="74316316" w:rsidR="0056608D" w:rsidRPr="00B570DE" w:rsidRDefault="00E43B2C" w:rsidP="00B570DE">
      <w:pPr>
        <w:pStyle w:val="ListParagraph"/>
        <w:numPr>
          <w:ilvl w:val="1"/>
          <w:numId w:val="1"/>
        </w:numPr>
        <w:rPr>
          <w:b/>
        </w:rPr>
      </w:pPr>
      <w:r>
        <w:t xml:space="preserve">The proposed study will test effects observed in prior research; </w:t>
      </w:r>
      <w:proofErr w:type="gramStart"/>
      <w:r>
        <w:t>thus</w:t>
      </w:r>
      <w:proofErr w:type="gramEnd"/>
      <w:r>
        <w:t xml:space="preserve"> there is an existing evidence base on which the question and hypotheses rest.</w:t>
      </w:r>
    </w:p>
    <w:p w14:paraId="77C5DCE4" w14:textId="77777777" w:rsidR="00796466" w:rsidRPr="00796466" w:rsidRDefault="00796466" w:rsidP="005559F2">
      <w:pPr>
        <w:pStyle w:val="ListParagraph"/>
        <w:numPr>
          <w:ilvl w:val="0"/>
          <w:numId w:val="1"/>
        </w:numPr>
        <w:rPr>
          <w:rStyle w:val="Strong"/>
          <w:bCs w:val="0"/>
        </w:rPr>
      </w:pPr>
      <w:r w:rsidRPr="00796466">
        <w:rPr>
          <w:b/>
        </w:rPr>
        <w:t xml:space="preserve">Criterion 1B: </w:t>
      </w:r>
      <w:r w:rsidRPr="00796466">
        <w:rPr>
          <w:rStyle w:val="Strong"/>
        </w:rPr>
        <w:t>The logic, rationale, and plausibility of the proposed hypotheses.</w:t>
      </w:r>
    </w:p>
    <w:p w14:paraId="7CB811B5" w14:textId="77777777" w:rsidR="00796466" w:rsidRPr="00796466" w:rsidRDefault="00796466" w:rsidP="00796466">
      <w:pPr>
        <w:pStyle w:val="ListParagraph"/>
        <w:numPr>
          <w:ilvl w:val="1"/>
          <w:numId w:val="1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>Rationale for exploratory tests of social norms could be explained more clearly on pg. 13</w:t>
      </w:r>
    </w:p>
    <w:p w14:paraId="3C8C48C3" w14:textId="2568402A" w:rsidR="00796466" w:rsidRPr="00F952CD" w:rsidRDefault="00796466" w:rsidP="00796466">
      <w:pPr>
        <w:pStyle w:val="ListParagraph"/>
        <w:numPr>
          <w:ilvl w:val="1"/>
          <w:numId w:val="1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>Rationale given on pg. 14 for adding “independent” and “other” options to political-orientation measure could also be clarified</w:t>
      </w:r>
      <w:r w:rsidR="002E3202">
        <w:rPr>
          <w:rStyle w:val="Strong"/>
          <w:b w:val="0"/>
          <w:bCs w:val="0"/>
        </w:rPr>
        <w:t xml:space="preserve"> – it seems that the words </w:t>
      </w:r>
      <w:r w:rsidR="002E3202">
        <w:rPr>
          <w:rStyle w:val="Strong"/>
          <w:b w:val="0"/>
          <w:bCs w:val="0"/>
          <w:i/>
        </w:rPr>
        <w:t>do not</w:t>
      </w:r>
      <w:r w:rsidR="002E3202">
        <w:rPr>
          <w:rStyle w:val="Strong"/>
          <w:b w:val="0"/>
          <w:bCs w:val="0"/>
        </w:rPr>
        <w:t xml:space="preserve"> were omitted (these additions can represent people who </w:t>
      </w:r>
      <w:r w:rsidR="002E3202">
        <w:rPr>
          <w:rStyle w:val="Strong"/>
          <w:b w:val="0"/>
          <w:bCs w:val="0"/>
          <w:i/>
        </w:rPr>
        <w:t xml:space="preserve">do not </w:t>
      </w:r>
      <w:r w:rsidR="002E3202">
        <w:rPr>
          <w:rStyle w:val="Strong"/>
          <w:b w:val="0"/>
          <w:bCs w:val="0"/>
        </w:rPr>
        <w:t>identify as Republicans or Democrats).</w:t>
      </w:r>
    </w:p>
    <w:p w14:paraId="2B724CAC" w14:textId="17619935" w:rsidR="00F952CD" w:rsidRPr="009604FF" w:rsidRDefault="00F952CD" w:rsidP="00F952CD">
      <w:pPr>
        <w:pStyle w:val="ListParagraph"/>
        <w:numPr>
          <w:ilvl w:val="2"/>
          <w:numId w:val="1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>“conservatives or liberals” would be a clearer phrase to use in that sentence also – truer to the content of the item, and clearer as a label for political ideologies.</w:t>
      </w:r>
    </w:p>
    <w:p w14:paraId="6CD02BFE" w14:textId="5C62B3D6" w:rsidR="009604FF" w:rsidRPr="00796466" w:rsidRDefault="009604FF" w:rsidP="00796466">
      <w:pPr>
        <w:pStyle w:val="ListParagraph"/>
        <w:numPr>
          <w:ilvl w:val="1"/>
          <w:numId w:val="1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>Rationale for including the general lay beliefs about good true selves could be clearer (currently no rationale is given, it is simply stated that this measure will be included)</w:t>
      </w:r>
      <w:r w:rsidR="00E91E00">
        <w:rPr>
          <w:rStyle w:val="Strong"/>
          <w:b w:val="0"/>
          <w:bCs w:val="0"/>
        </w:rPr>
        <w:t>.</w:t>
      </w:r>
      <w:r w:rsidR="00E43B2C">
        <w:rPr>
          <w:rStyle w:val="Strong"/>
          <w:b w:val="0"/>
          <w:bCs w:val="0"/>
        </w:rPr>
        <w:t xml:space="preserve"> If it is being included for purely exploratory purposes</w:t>
      </w:r>
      <w:r w:rsidR="00D17452">
        <w:rPr>
          <w:rStyle w:val="Strong"/>
          <w:b w:val="0"/>
          <w:bCs w:val="0"/>
        </w:rPr>
        <w:t xml:space="preserve"> (which is what it seems like)</w:t>
      </w:r>
      <w:r w:rsidR="00E43B2C">
        <w:rPr>
          <w:rStyle w:val="Strong"/>
          <w:b w:val="0"/>
          <w:bCs w:val="0"/>
        </w:rPr>
        <w:t xml:space="preserve">, that could be made explicit. If the authors intend to test </w:t>
      </w:r>
      <w:r w:rsidR="00201C94">
        <w:rPr>
          <w:rStyle w:val="Strong"/>
          <w:b w:val="0"/>
          <w:bCs w:val="0"/>
        </w:rPr>
        <w:t>hypotheses related to that variable (even tentative hypotheses), those hypotheses and an accompanying rationale should be stated.</w:t>
      </w:r>
    </w:p>
    <w:p w14:paraId="0934903C" w14:textId="77777777" w:rsidR="00796466" w:rsidRPr="002E3202" w:rsidRDefault="00796466" w:rsidP="005559F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796466">
        <w:rPr>
          <w:b/>
        </w:rPr>
        <w:t xml:space="preserve">Criterion 1C: </w:t>
      </w:r>
      <w:r w:rsidRPr="00796466">
        <w:rPr>
          <w:rStyle w:val="Strong"/>
        </w:rPr>
        <w:t>The soundness and feasibility of the methodology and analysis pipeline</w:t>
      </w:r>
      <w:r w:rsidRPr="00796466">
        <w:rPr>
          <w:rStyle w:val="Strong"/>
        </w:rPr>
        <w:t>.</w:t>
      </w:r>
    </w:p>
    <w:p w14:paraId="408E0312" w14:textId="3E93917C" w:rsidR="00DB3204" w:rsidRDefault="002E3202" w:rsidP="002E3202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</w:t>
      </w:r>
      <w:r w:rsidR="0028337F">
        <w:rPr>
          <w:rStyle w:val="Strong"/>
          <w:b w:val="0"/>
          <w:bCs w:val="0"/>
        </w:rPr>
        <w:t xml:space="preserve">phrasing of the </w:t>
      </w:r>
      <w:r>
        <w:rPr>
          <w:rStyle w:val="Strong"/>
          <w:b w:val="0"/>
          <w:bCs w:val="0"/>
        </w:rPr>
        <w:t xml:space="preserve">“surface self” </w:t>
      </w:r>
      <w:r w:rsidR="00F952CD">
        <w:rPr>
          <w:rStyle w:val="Strong"/>
          <w:b w:val="0"/>
          <w:bCs w:val="0"/>
        </w:rPr>
        <w:t>response option</w:t>
      </w:r>
      <w:r>
        <w:rPr>
          <w:rStyle w:val="Strong"/>
          <w:b w:val="0"/>
          <w:bCs w:val="0"/>
        </w:rPr>
        <w:t xml:space="preserve"> impl</w:t>
      </w:r>
      <w:r w:rsidR="00F952CD">
        <w:rPr>
          <w:rStyle w:val="Strong"/>
          <w:b w:val="0"/>
          <w:bCs w:val="0"/>
        </w:rPr>
        <w:t>ies</w:t>
      </w:r>
      <w:r>
        <w:rPr>
          <w:rStyle w:val="Strong"/>
          <w:b w:val="0"/>
          <w:bCs w:val="0"/>
        </w:rPr>
        <w:t xml:space="preserve"> that everything a person learns (i.e., </w:t>
      </w:r>
      <w:r w:rsidR="00307075">
        <w:rPr>
          <w:rStyle w:val="Strong"/>
          <w:b w:val="0"/>
          <w:bCs w:val="0"/>
        </w:rPr>
        <w:t>qualities of the person resulting from</w:t>
      </w:r>
      <w:r>
        <w:rPr>
          <w:rStyle w:val="Strong"/>
          <w:b w:val="0"/>
          <w:bCs w:val="0"/>
        </w:rPr>
        <w:t xml:space="preserve"> “nurture” influences) are by definition not part of that person’s true self. That doesn’t seem like the most neutral way to measure that concept;</w:t>
      </w:r>
      <w:r w:rsidR="00307075">
        <w:rPr>
          <w:rStyle w:val="Strong"/>
          <w:b w:val="0"/>
          <w:bCs w:val="0"/>
        </w:rPr>
        <w:t xml:space="preserve"> while on average a person’s innate qualities might be perceived as more authentic/essential than their acquired qualities, that is not entailed by the bare concepts of the true vs. surface selves. The phrasing of the “true self” </w:t>
      </w:r>
      <w:r w:rsidR="00F952CD">
        <w:rPr>
          <w:rStyle w:val="Strong"/>
          <w:b w:val="0"/>
          <w:bCs w:val="0"/>
        </w:rPr>
        <w:t>response option</w:t>
      </w:r>
      <w:r w:rsidR="00307075">
        <w:rPr>
          <w:rStyle w:val="Strong"/>
          <w:b w:val="0"/>
          <w:bCs w:val="0"/>
        </w:rPr>
        <w:t xml:space="preserve"> (“the deepest, most essential aspect of this person’s being”) is more neutral – that phrasing doesn’t directly imply innateness. Can the “surface self” </w:t>
      </w:r>
      <w:r w:rsidR="00F952CD">
        <w:rPr>
          <w:rStyle w:val="Strong"/>
          <w:b w:val="0"/>
          <w:bCs w:val="0"/>
        </w:rPr>
        <w:t>response option</w:t>
      </w:r>
      <w:r w:rsidR="00307075">
        <w:rPr>
          <w:rStyle w:val="Strong"/>
          <w:b w:val="0"/>
          <w:bCs w:val="0"/>
        </w:rPr>
        <w:t xml:space="preserve"> be revised to more closely parallel that language? For example, “This person’s ‘surface self’ (the shallower, non-essential aspects of this person’s being).” </w:t>
      </w:r>
    </w:p>
    <w:p w14:paraId="2318A900" w14:textId="2C9C37B3" w:rsidR="002E3202" w:rsidRDefault="00DB3204" w:rsidP="00DB3204">
      <w:pPr>
        <w:pStyle w:val="ListParagraph"/>
        <w:numPr>
          <w:ilvl w:val="2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There might be some risk that this phrasing</w:t>
      </w:r>
      <w:r w:rsidR="00C24387">
        <w:rPr>
          <w:rStyle w:val="Strong"/>
          <w:b w:val="0"/>
          <w:bCs w:val="0"/>
        </w:rPr>
        <w:t xml:space="preserve"> (essential vs. non-essential)</w:t>
      </w:r>
      <w:r>
        <w:rPr>
          <w:rStyle w:val="Strong"/>
          <w:b w:val="0"/>
          <w:bCs w:val="0"/>
        </w:rPr>
        <w:t xml:space="preserve"> is not readily understood by </w:t>
      </w:r>
      <w:r w:rsidR="00C24387">
        <w:rPr>
          <w:rStyle w:val="Strong"/>
          <w:b w:val="0"/>
          <w:bCs w:val="0"/>
        </w:rPr>
        <w:t xml:space="preserve">all participants, </w:t>
      </w:r>
      <w:r w:rsidR="00FD4870">
        <w:rPr>
          <w:rStyle w:val="Strong"/>
          <w:b w:val="0"/>
          <w:bCs w:val="0"/>
        </w:rPr>
        <w:t>which could introduce</w:t>
      </w:r>
      <w:r w:rsidR="00C24387">
        <w:rPr>
          <w:rStyle w:val="Strong"/>
          <w:b w:val="0"/>
          <w:bCs w:val="0"/>
        </w:rPr>
        <w:t xml:space="preserve"> noise/imprecision in</w:t>
      </w:r>
      <w:r w:rsidR="00F566D6">
        <w:rPr>
          <w:rStyle w:val="Strong"/>
          <w:b w:val="0"/>
          <w:bCs w:val="0"/>
        </w:rPr>
        <w:t>to</w:t>
      </w:r>
      <w:r w:rsidR="00C24387">
        <w:rPr>
          <w:rStyle w:val="Strong"/>
          <w:b w:val="0"/>
          <w:bCs w:val="0"/>
        </w:rPr>
        <w:t xml:space="preserve"> </w:t>
      </w:r>
      <w:r w:rsidR="00C24387">
        <w:rPr>
          <w:rStyle w:val="Strong"/>
          <w:b w:val="0"/>
          <w:bCs w:val="0"/>
        </w:rPr>
        <w:lastRenderedPageBreak/>
        <w:t>the measurements. With that in mind, it may be worth considering more accessible alternative phrasing that preserves the same basic meaning. For example: “The person’s ‘true self’ (who the person really is, deep down)” vs. “The person’s ‘surface self’ (</w:t>
      </w:r>
      <w:r w:rsidR="004E2106">
        <w:rPr>
          <w:rStyle w:val="Strong"/>
          <w:b w:val="0"/>
          <w:bCs w:val="0"/>
        </w:rPr>
        <w:t>parts of the person that don’t define who they really are</w:t>
      </w:r>
      <w:r w:rsidR="0066229D">
        <w:rPr>
          <w:rStyle w:val="Strong"/>
          <w:b w:val="0"/>
          <w:bCs w:val="0"/>
        </w:rPr>
        <w:t xml:space="preserve">).” </w:t>
      </w:r>
      <w:r w:rsidR="000372EF">
        <w:rPr>
          <w:rStyle w:val="Strong"/>
          <w:b w:val="0"/>
          <w:bCs w:val="0"/>
        </w:rPr>
        <w:t>I’m not convinced this phrasing is perfect, just an example of how these items’ wording might be made more accessible.</w:t>
      </w:r>
    </w:p>
    <w:p w14:paraId="04182837" w14:textId="1602493A" w:rsidR="0066229D" w:rsidRDefault="0066229D" w:rsidP="00DB3204">
      <w:pPr>
        <w:pStyle w:val="ListParagraph"/>
        <w:numPr>
          <w:ilvl w:val="2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 recognize that </w:t>
      </w:r>
      <w:r w:rsidR="00F952CD">
        <w:rPr>
          <w:rStyle w:val="Strong"/>
          <w:b w:val="0"/>
          <w:bCs w:val="0"/>
        </w:rPr>
        <w:t>these suggestions entail</w:t>
      </w:r>
      <w:r>
        <w:rPr>
          <w:rStyle w:val="Strong"/>
          <w:b w:val="0"/>
          <w:bCs w:val="0"/>
        </w:rPr>
        <w:t xml:space="preserve"> further deviations from the original work being replicated here. In making these suggestions, I am prioritizing considerations of precise </w:t>
      </w:r>
      <w:r w:rsidR="00F952CD">
        <w:rPr>
          <w:rStyle w:val="Strong"/>
          <w:b w:val="0"/>
          <w:bCs w:val="0"/>
        </w:rPr>
        <w:t>and</w:t>
      </w:r>
      <w:r>
        <w:rPr>
          <w:rStyle w:val="Strong"/>
          <w:b w:val="0"/>
          <w:bCs w:val="0"/>
        </w:rPr>
        <w:t xml:space="preserve"> valid measurement of the relevant constructs. Those considerations seem more important than fidelity to the original studies</w:t>
      </w:r>
      <w:r w:rsidR="000372EF">
        <w:rPr>
          <w:rStyle w:val="Strong"/>
          <w:b w:val="0"/>
          <w:bCs w:val="0"/>
        </w:rPr>
        <w:t xml:space="preserve"> – but I respect the authors’ right to disagree with that assessment and opt to stick as closely as possible to the original study materials!</w:t>
      </w:r>
    </w:p>
    <w:p w14:paraId="71E2F81D" w14:textId="059B5938" w:rsidR="00502C10" w:rsidRDefault="00502C10" w:rsidP="00502C10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On a similar note – the wording of the true-self rating items in the Study 2 replication is also rather convoluted and potentially confusing. In particular, the word “oneself” in those items is strange – just saying “them” would be clearer (e.g., “…there was always something deep within </w:t>
      </w:r>
      <w:r>
        <w:rPr>
          <w:rStyle w:val="Strong"/>
          <w:b w:val="0"/>
          <w:bCs w:val="0"/>
          <w:i/>
        </w:rPr>
        <w:t>them</w:t>
      </w:r>
      <w:r>
        <w:rPr>
          <w:rStyle w:val="Strong"/>
          <w:b w:val="0"/>
          <w:bCs w:val="0"/>
        </w:rPr>
        <w:t xml:space="preserve"> calling this person…”). But the overall phrasing and structure of these items is odd and seems likely to confuse at least some participants. Alternative phrasing like: “</w:t>
      </w:r>
      <w:r w:rsidR="00B570DE">
        <w:rPr>
          <w:rStyle w:val="Strong"/>
          <w:b w:val="0"/>
          <w:bCs w:val="0"/>
        </w:rPr>
        <w:t>Now that</w:t>
      </w:r>
      <w:r>
        <w:rPr>
          <w:rStyle w:val="Strong"/>
          <w:b w:val="0"/>
          <w:bCs w:val="0"/>
        </w:rPr>
        <w:t xml:space="preserve"> </w:t>
      </w:r>
      <w:r w:rsidR="00B570DE">
        <w:rPr>
          <w:rStyle w:val="Strong"/>
          <w:b w:val="0"/>
          <w:bCs w:val="0"/>
        </w:rPr>
        <w:t xml:space="preserve">they have </w:t>
      </w:r>
      <w:r>
        <w:rPr>
          <w:rStyle w:val="Strong"/>
          <w:b w:val="0"/>
          <w:bCs w:val="0"/>
        </w:rPr>
        <w:t xml:space="preserve">[CHANGE], this person is now…” with a response scale </w:t>
      </w:r>
      <w:r w:rsidR="00B570DE">
        <w:rPr>
          <w:rStyle w:val="Strong"/>
          <w:b w:val="0"/>
          <w:bCs w:val="0"/>
        </w:rPr>
        <w:t xml:space="preserve">indicating degrees of closeness/farness from being their true self (e.g., 1 = </w:t>
      </w:r>
      <w:r w:rsidR="00B570DE">
        <w:rPr>
          <w:rStyle w:val="Strong"/>
          <w:b w:val="0"/>
          <w:bCs w:val="0"/>
          <w:i/>
        </w:rPr>
        <w:t>much farther from being their true self</w:t>
      </w:r>
      <w:r w:rsidR="00B570DE">
        <w:rPr>
          <w:rStyle w:val="Strong"/>
          <w:b w:val="0"/>
          <w:bCs w:val="0"/>
        </w:rPr>
        <w:t xml:space="preserve">, 4 = </w:t>
      </w:r>
      <w:r w:rsidR="00B570DE">
        <w:rPr>
          <w:rStyle w:val="Strong"/>
          <w:b w:val="0"/>
          <w:bCs w:val="0"/>
          <w:i/>
        </w:rPr>
        <w:t>no closer to or farther from being their true self</w:t>
      </w:r>
      <w:r w:rsidR="00B570DE">
        <w:rPr>
          <w:rStyle w:val="Strong"/>
          <w:b w:val="0"/>
          <w:bCs w:val="0"/>
        </w:rPr>
        <w:t xml:space="preserve">, 7 = </w:t>
      </w:r>
      <w:r w:rsidR="00B570DE">
        <w:rPr>
          <w:rStyle w:val="Strong"/>
          <w:b w:val="0"/>
          <w:bCs w:val="0"/>
          <w:i/>
        </w:rPr>
        <w:t>much closer to being their true self</w:t>
      </w:r>
      <w:r w:rsidR="00B570DE">
        <w:rPr>
          <w:rStyle w:val="Strong"/>
          <w:b w:val="0"/>
          <w:bCs w:val="0"/>
        </w:rPr>
        <w:t>)</w:t>
      </w:r>
    </w:p>
    <w:p w14:paraId="450DC4D4" w14:textId="52C12EF4" w:rsidR="00502C10" w:rsidRDefault="00B570DE" w:rsidP="00502C10">
      <w:pPr>
        <w:pStyle w:val="ListParagraph"/>
        <w:numPr>
          <w:ilvl w:val="2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same considerations apply as above – if the authors judge that the wording should remain relatively unchanged in the interest of fidelity to the original work, that is reasonable. But in that </w:t>
      </w:r>
      <w:proofErr w:type="gramStart"/>
      <w:r>
        <w:rPr>
          <w:rStyle w:val="Strong"/>
          <w:b w:val="0"/>
          <w:bCs w:val="0"/>
        </w:rPr>
        <w:t>case</w:t>
      </w:r>
      <w:proofErr w:type="gramEnd"/>
      <w:r>
        <w:rPr>
          <w:rStyle w:val="Strong"/>
          <w:b w:val="0"/>
          <w:bCs w:val="0"/>
        </w:rPr>
        <w:t xml:space="preserve"> I would still advocate for changing “oneself” in these items to “them”!</w:t>
      </w:r>
    </w:p>
    <w:p w14:paraId="2DCB76D6" w14:textId="68458D70" w:rsidR="000372EF" w:rsidRDefault="000372EF" w:rsidP="000372EF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reasoning behind the power analyses (which the authors specifically requested feedback on) seems adequate to me. Even though not all of the original effects could be estimated precisely,</w:t>
      </w:r>
      <w:r w:rsidR="009604FF">
        <w:rPr>
          <w:rStyle w:val="Strong"/>
          <w:b w:val="0"/>
          <w:bCs w:val="0"/>
        </w:rPr>
        <w:t xml:space="preserve"> the planned sample size is adequate to detect much smaller effects than those originally reported. In my own experience doing similar research, these true-self/morality effects are pretty robust – so I believe statistical power will be more than adequate.</w:t>
      </w:r>
    </w:p>
    <w:p w14:paraId="610CE321" w14:textId="45A4203A" w:rsidR="000B4218" w:rsidRPr="00796466" w:rsidRDefault="000B4218" w:rsidP="000B4218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In the consenting process in the Qualtrics survey, it states that the study will include attention/comprehension checks. However, it doesn’t seem that any checks are actually included. While there are </w:t>
      </w:r>
      <w:r w:rsidR="004A60F7">
        <w:rPr>
          <w:rStyle w:val="Strong"/>
          <w:b w:val="0"/>
          <w:bCs w:val="0"/>
        </w:rPr>
        <w:t xml:space="preserve">quite a few </w:t>
      </w:r>
      <w:r>
        <w:rPr>
          <w:rStyle w:val="Strong"/>
          <w:b w:val="0"/>
          <w:bCs w:val="0"/>
        </w:rPr>
        <w:t xml:space="preserve">safeguards in place to filter out bots and non-serious participants, it does seem like including some simple instructional attention checks embedded throughout the study, and/or simple comprehension checks (e.g., a single item accompanying each vignette asking participants to </w:t>
      </w:r>
      <w:r w:rsidR="0056608D">
        <w:rPr>
          <w:rStyle w:val="Strong"/>
          <w:b w:val="0"/>
          <w:bCs w:val="0"/>
        </w:rPr>
        <w:t>identify</w:t>
      </w:r>
      <w:r>
        <w:rPr>
          <w:rStyle w:val="Strong"/>
          <w:b w:val="0"/>
          <w:bCs w:val="0"/>
        </w:rPr>
        <w:t xml:space="preserve"> the nature of the change the target person underwent) could add value when it comes to ensuring data quality. </w:t>
      </w:r>
      <w:r>
        <w:rPr>
          <w:rStyle w:val="Strong"/>
          <w:b w:val="0"/>
          <w:bCs w:val="0"/>
        </w:rPr>
        <w:t>The</w:t>
      </w:r>
      <w:r>
        <w:rPr>
          <w:rStyle w:val="Strong"/>
          <w:b w:val="0"/>
          <w:bCs w:val="0"/>
        </w:rPr>
        <w:t xml:space="preserve"> latter</w:t>
      </w:r>
      <w:r>
        <w:rPr>
          <w:rStyle w:val="Strong"/>
          <w:b w:val="0"/>
          <w:bCs w:val="0"/>
        </w:rPr>
        <w:t xml:space="preserve"> type of</w:t>
      </w:r>
      <w:r>
        <w:rPr>
          <w:rStyle w:val="Strong"/>
          <w:b w:val="0"/>
          <w:bCs w:val="0"/>
        </w:rPr>
        <w:t xml:space="preserve"> items (comprehension checks) would </w:t>
      </w:r>
      <w:r>
        <w:rPr>
          <w:rStyle w:val="Strong"/>
          <w:b w:val="0"/>
          <w:bCs w:val="0"/>
        </w:rPr>
        <w:t xml:space="preserve">probably </w:t>
      </w:r>
      <w:r>
        <w:rPr>
          <w:rStyle w:val="Strong"/>
          <w:b w:val="0"/>
          <w:bCs w:val="0"/>
        </w:rPr>
        <w:t xml:space="preserve">be sufficient, since they </w:t>
      </w:r>
      <w:r w:rsidR="004A60F7">
        <w:rPr>
          <w:rStyle w:val="Strong"/>
          <w:b w:val="0"/>
          <w:bCs w:val="0"/>
        </w:rPr>
        <w:t xml:space="preserve">effectively </w:t>
      </w:r>
      <w:r>
        <w:rPr>
          <w:rStyle w:val="Strong"/>
          <w:b w:val="0"/>
          <w:bCs w:val="0"/>
        </w:rPr>
        <w:t>double</w:t>
      </w:r>
      <w:r>
        <w:rPr>
          <w:rStyle w:val="Strong"/>
          <w:b w:val="0"/>
          <w:bCs w:val="0"/>
        </w:rPr>
        <w:t xml:space="preserve"> as attention checks. Including these checks would likely result in a </w:t>
      </w:r>
      <w:r>
        <w:rPr>
          <w:rStyle w:val="Strong"/>
          <w:b w:val="0"/>
          <w:bCs w:val="0"/>
        </w:rPr>
        <w:t>more</w:t>
      </w:r>
      <w:r>
        <w:rPr>
          <w:rStyle w:val="Strong"/>
          <w:b w:val="0"/>
          <w:bCs w:val="0"/>
        </w:rPr>
        <w:t xml:space="preserve"> exclusions. This could be offset by setting a relatively high bar for exclusion (i.e., participants would only be excluded if they displayed a persistent pattern of inattentiveness/non-comprehension across multiple check items). Increasing the planned sample size further could also offset a larger number of anticipated exclusions, though I’m not sure that’s necessary. The pre-registration plan could also be updated to apply these exclusion criteria separately from the </w:t>
      </w:r>
      <w:r>
        <w:rPr>
          <w:rStyle w:val="Strong"/>
          <w:b w:val="0"/>
          <w:bCs w:val="0"/>
        </w:rPr>
        <w:lastRenderedPageBreak/>
        <w:t xml:space="preserve">others (i.e., the plan would include three stages of analysis: 1. pre-exclusion data, 2. data after applying the currently proposed set of exclusion criteria, 3. data after applying the full set of exclusion criteria including these new check items). </w:t>
      </w:r>
    </w:p>
    <w:p w14:paraId="19EE2BA4" w14:textId="176A5A63" w:rsidR="000B4218" w:rsidRDefault="000B4218" w:rsidP="000B4218">
      <w:pPr>
        <w:pStyle w:val="ListParagraph"/>
        <w:numPr>
          <w:ilvl w:val="1"/>
          <w:numId w:val="1"/>
        </w:numPr>
      </w:pPr>
      <w:r>
        <w:t xml:space="preserve">In the supplemental materials, it is stated that recruitment on MTurk will be limited to workers who have completed between 5,000 and 100,000 HITs. That strikes me as odd; </w:t>
      </w:r>
      <w:r>
        <w:t>only</w:t>
      </w:r>
      <w:r>
        <w:t xml:space="preserve"> highly experienced MTurk </w:t>
      </w:r>
      <w:r>
        <w:t>users would be</w:t>
      </w:r>
      <w:r>
        <w:t xml:space="preserve"> eligible for participation in this study</w:t>
      </w:r>
      <w:r>
        <w:t>, and more casual users would be excluded</w:t>
      </w:r>
      <w:r>
        <w:t xml:space="preserve">. Allowing less experienced MTurk users to participate </w:t>
      </w:r>
      <w:r>
        <w:t>would seem</w:t>
      </w:r>
      <w:r>
        <w:t xml:space="preserve"> desirable for a number of reasons (i.e., greater proportion of naïve participants, somewhat more representative of people in general)</w:t>
      </w:r>
      <w:r>
        <w:t>.</w:t>
      </w:r>
    </w:p>
    <w:p w14:paraId="719AB3B3" w14:textId="77777777" w:rsidR="00796466" w:rsidRPr="000372EF" w:rsidRDefault="00796466" w:rsidP="005559F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796466">
        <w:rPr>
          <w:b/>
        </w:rPr>
        <w:t xml:space="preserve">Criterion 1D: </w:t>
      </w:r>
      <w:r w:rsidRPr="00796466">
        <w:rPr>
          <w:rStyle w:val="Strong"/>
        </w:rPr>
        <w:t>Whether the clarity and degree of methodological detail is sufficient to closely replicate the proposed study procedures and analysis pipeline and to prevent undisclosed flexibility in the procedures and analyses.</w:t>
      </w:r>
    </w:p>
    <w:p w14:paraId="58A04C29" w14:textId="5A9EB278" w:rsidR="00E43B2C" w:rsidRPr="00796466" w:rsidRDefault="00934B1C" w:rsidP="00D17452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exclusion criteria described in the manuscript do not match exactly with those outlined in the supplemental material</w:t>
      </w:r>
      <w:r w:rsidR="00D17452">
        <w:rPr>
          <w:rStyle w:val="Strong"/>
          <w:b w:val="0"/>
          <w:bCs w:val="0"/>
        </w:rPr>
        <w:t xml:space="preserve"> (commenting on this here</w:t>
      </w:r>
      <w:r w:rsidR="000B4218">
        <w:rPr>
          <w:rStyle w:val="Strong"/>
          <w:b w:val="0"/>
          <w:bCs w:val="0"/>
        </w:rPr>
        <w:t xml:space="preserve"> </w:t>
      </w:r>
      <w:r w:rsidR="00B570DE">
        <w:rPr>
          <w:rStyle w:val="Strong"/>
          <w:b w:val="0"/>
          <w:bCs w:val="0"/>
        </w:rPr>
        <w:t>since it seems to be related to potential flexibility in analyses – but some of my comments under the previous criterion are also related to this).</w:t>
      </w:r>
    </w:p>
    <w:p w14:paraId="560A0BF0" w14:textId="519A00F7" w:rsidR="00796466" w:rsidRPr="00D17452" w:rsidRDefault="00796466" w:rsidP="005559F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796466">
        <w:rPr>
          <w:b/>
        </w:rPr>
        <w:t xml:space="preserve">Criterion 1E: </w:t>
      </w:r>
      <w:r w:rsidRPr="00796466">
        <w:rPr>
          <w:rStyle w:val="Strong"/>
        </w:rPr>
        <w:t>Whether the authors have considered sufficient outcome-neutral conditions</w:t>
      </w:r>
      <w:r w:rsidRPr="00796466">
        <w:rPr>
          <w:rStyle w:val="Strong"/>
        </w:rPr>
        <w:t>.</w:t>
      </w:r>
    </w:p>
    <w:p w14:paraId="1C23F6F9" w14:textId="605709A8" w:rsidR="00D17452" w:rsidRPr="00F566D6" w:rsidRDefault="00D17452" w:rsidP="00D17452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Manipulation checks were added </w:t>
      </w:r>
      <w:r w:rsidR="00343663">
        <w:rPr>
          <w:rStyle w:val="Strong"/>
          <w:b w:val="0"/>
          <w:bCs w:val="0"/>
        </w:rPr>
        <w:t>to</w:t>
      </w:r>
      <w:r w:rsidR="00502C10">
        <w:rPr>
          <w:rStyle w:val="Strong"/>
          <w:b w:val="0"/>
          <w:bCs w:val="0"/>
        </w:rPr>
        <w:t xml:space="preserve"> </w:t>
      </w:r>
      <w:r w:rsidR="00B570DE">
        <w:rPr>
          <w:rStyle w:val="Strong"/>
          <w:b w:val="0"/>
          <w:bCs w:val="0"/>
        </w:rPr>
        <w:t>the Study 1 replication, but not in the Study 2 replication. It would seem possible to add a similar morality rating there, allowing the authors to test whether the “pro-liberal” and “pro-conservative” changes were indeed perceived as changes for the better by liberal and conservative participants, respectively.</w:t>
      </w:r>
    </w:p>
    <w:sectPr w:rsidR="00D17452" w:rsidRPr="00F566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D75AF" w14:textId="77777777" w:rsidR="00D30C5C" w:rsidRDefault="00D30C5C" w:rsidP="005559F2">
      <w:pPr>
        <w:spacing w:after="0" w:line="240" w:lineRule="auto"/>
      </w:pPr>
      <w:r>
        <w:separator/>
      </w:r>
    </w:p>
  </w:endnote>
  <w:endnote w:type="continuationSeparator" w:id="0">
    <w:p w14:paraId="31784CBA" w14:textId="77777777" w:rsidR="00D30C5C" w:rsidRDefault="00D30C5C" w:rsidP="0055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84E4" w14:textId="77777777" w:rsidR="00D30C5C" w:rsidRDefault="00D30C5C" w:rsidP="005559F2">
      <w:pPr>
        <w:spacing w:after="0" w:line="240" w:lineRule="auto"/>
      </w:pPr>
      <w:r>
        <w:separator/>
      </w:r>
    </w:p>
  </w:footnote>
  <w:footnote w:type="continuationSeparator" w:id="0">
    <w:p w14:paraId="321B2F9D" w14:textId="77777777" w:rsidR="00D30C5C" w:rsidRDefault="00D30C5C" w:rsidP="0055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49D7" w14:textId="7ACF4EE2" w:rsidR="005559F2" w:rsidRDefault="00CA79E0">
    <w:pPr>
      <w:pStyle w:val="Header"/>
    </w:pPr>
    <w:r>
      <w:t xml:space="preserve">Stage 1 Review of </w:t>
    </w:r>
    <w:r w:rsidR="001E7777">
      <w:t>Lee &amp; Feldman (replication of Newman, Bloom, &amp; Knobe, 2014)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2C54"/>
    <w:multiLevelType w:val="hybridMultilevel"/>
    <w:tmpl w:val="7632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F2"/>
    <w:rsid w:val="000372EF"/>
    <w:rsid w:val="000B4218"/>
    <w:rsid w:val="001E7777"/>
    <w:rsid w:val="00201C94"/>
    <w:rsid w:val="0028337F"/>
    <w:rsid w:val="002A74F2"/>
    <w:rsid w:val="002E3202"/>
    <w:rsid w:val="00307075"/>
    <w:rsid w:val="00343663"/>
    <w:rsid w:val="004A60F7"/>
    <w:rsid w:val="004E2106"/>
    <w:rsid w:val="00502C10"/>
    <w:rsid w:val="005054BE"/>
    <w:rsid w:val="005559F2"/>
    <w:rsid w:val="0056256A"/>
    <w:rsid w:val="0056608D"/>
    <w:rsid w:val="0062796B"/>
    <w:rsid w:val="0066229D"/>
    <w:rsid w:val="007063EE"/>
    <w:rsid w:val="00741617"/>
    <w:rsid w:val="00796466"/>
    <w:rsid w:val="007A50E6"/>
    <w:rsid w:val="007B341E"/>
    <w:rsid w:val="007E5BF1"/>
    <w:rsid w:val="008A4168"/>
    <w:rsid w:val="00934B1C"/>
    <w:rsid w:val="009604FF"/>
    <w:rsid w:val="00A64A0F"/>
    <w:rsid w:val="00B570DE"/>
    <w:rsid w:val="00C24387"/>
    <w:rsid w:val="00C3541D"/>
    <w:rsid w:val="00C65B1E"/>
    <w:rsid w:val="00CA79E0"/>
    <w:rsid w:val="00D17452"/>
    <w:rsid w:val="00D30C5C"/>
    <w:rsid w:val="00DB3204"/>
    <w:rsid w:val="00DF5934"/>
    <w:rsid w:val="00E43B2C"/>
    <w:rsid w:val="00E91E00"/>
    <w:rsid w:val="00F566D6"/>
    <w:rsid w:val="00F952CD"/>
    <w:rsid w:val="00F97BE7"/>
    <w:rsid w:val="00FD4870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DFA3"/>
  <w15:chartTrackingRefBased/>
  <w15:docId w15:val="{519EE567-F232-4C6F-8729-9C2539FA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F2"/>
  </w:style>
  <w:style w:type="paragraph" w:styleId="Footer">
    <w:name w:val="footer"/>
    <w:basedOn w:val="Normal"/>
    <w:link w:val="FooterChar"/>
    <w:uiPriority w:val="99"/>
    <w:unhideWhenUsed/>
    <w:rsid w:val="0055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F2"/>
  </w:style>
  <w:style w:type="paragraph" w:styleId="ListParagraph">
    <w:name w:val="List Paragraph"/>
    <w:basedOn w:val="Normal"/>
    <w:uiPriority w:val="34"/>
    <w:qFormat/>
    <w:rsid w:val="005559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64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0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ri021@plattsburg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Plattsburgh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Christy</dc:creator>
  <cp:keywords/>
  <dc:description/>
  <cp:lastModifiedBy>Andrew Christy</cp:lastModifiedBy>
  <cp:revision>16</cp:revision>
  <dcterms:created xsi:type="dcterms:W3CDTF">2022-04-08T12:08:00Z</dcterms:created>
  <dcterms:modified xsi:type="dcterms:W3CDTF">2022-04-08T20:23:00Z</dcterms:modified>
</cp:coreProperties>
</file>