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DC04" w14:textId="2C7E8DDF" w:rsidR="003F1417" w:rsidRPr="003F1417" w:rsidRDefault="003F1417" w:rsidP="006D4463">
      <w:r>
        <w:rPr>
          <w:b/>
          <w:bCs/>
        </w:rPr>
        <w:t>Reviewer:</w:t>
      </w:r>
      <w:r>
        <w:t xml:space="preserve"> Amanda Geiser</w:t>
      </w:r>
      <w:r w:rsidR="00592EED">
        <w:t xml:space="preserve"> (ageiser@berkeley.edu)</w:t>
      </w:r>
    </w:p>
    <w:p w14:paraId="75A9815E" w14:textId="71E6428D" w:rsidR="006D4463" w:rsidRDefault="00657C5B" w:rsidP="006D4463">
      <w:r>
        <w:rPr>
          <w:b/>
          <w:bCs/>
        </w:rPr>
        <w:t>Submission title</w:t>
      </w:r>
      <w:r w:rsidR="006D4463" w:rsidRPr="006D4463">
        <w:rPr>
          <w:b/>
          <w:bCs/>
        </w:rPr>
        <w:t>:</w:t>
      </w:r>
      <w:r w:rsidR="006D4463">
        <w:t xml:space="preserve"> </w:t>
      </w:r>
      <w:r w:rsidR="006D4463" w:rsidRPr="006D4463">
        <w:t xml:space="preserve">Factors impacting effective altruism: Revisiting heuristics and biases in charity in a replication and extensions of Baron and </w:t>
      </w:r>
      <w:proofErr w:type="spellStart"/>
      <w:r w:rsidR="006D4463" w:rsidRPr="006D4463">
        <w:t>Szymanska</w:t>
      </w:r>
      <w:proofErr w:type="spellEnd"/>
      <w:r w:rsidR="006D4463" w:rsidRPr="006D4463">
        <w:t xml:space="preserve"> (2011)</w:t>
      </w:r>
    </w:p>
    <w:p w14:paraId="40BA4128" w14:textId="7E71DC6B" w:rsidR="006D4463" w:rsidRPr="006D4463" w:rsidRDefault="006D4463" w:rsidP="006D4463">
      <w:r w:rsidRPr="006D4463">
        <w:rPr>
          <w:b/>
          <w:bCs/>
        </w:rPr>
        <w:t>Authors:</w:t>
      </w:r>
      <w:r>
        <w:t xml:space="preserve"> </w:t>
      </w:r>
      <w:r w:rsidRPr="006D4463">
        <w:t xml:space="preserve">Mannix </w:t>
      </w:r>
      <w:r>
        <w:t>Chan and</w:t>
      </w:r>
      <w:r w:rsidRPr="006D4463">
        <w:t xml:space="preserve"> Gilad </w:t>
      </w:r>
      <w:r>
        <w:t>Feldman</w:t>
      </w:r>
    </w:p>
    <w:p w14:paraId="295376FA" w14:textId="77777777" w:rsidR="00887D10" w:rsidRDefault="00887D10"/>
    <w:p w14:paraId="689A1A37" w14:textId="4FFC089D" w:rsidR="006D4463" w:rsidRDefault="006D4463" w:rsidP="006D4463">
      <w:pPr>
        <w:jc w:val="center"/>
        <w:rPr>
          <w:b/>
          <w:bCs/>
          <w:u w:val="single"/>
        </w:rPr>
      </w:pPr>
      <w:r w:rsidRPr="006D4463">
        <w:rPr>
          <w:b/>
          <w:bCs/>
          <w:u w:val="single"/>
        </w:rPr>
        <w:t xml:space="preserve">Stage </w:t>
      </w:r>
      <w:r w:rsidR="0046679D">
        <w:rPr>
          <w:b/>
          <w:bCs/>
          <w:u w:val="single"/>
        </w:rPr>
        <w:t>1</w:t>
      </w:r>
      <w:r w:rsidRPr="006D4463">
        <w:rPr>
          <w:b/>
          <w:bCs/>
          <w:u w:val="single"/>
        </w:rPr>
        <w:t xml:space="preserve"> Review</w:t>
      </w:r>
      <w:r w:rsidR="008A3A78">
        <w:rPr>
          <w:b/>
          <w:bCs/>
          <w:u w:val="single"/>
        </w:rPr>
        <w:t xml:space="preserve"> 2</w:t>
      </w:r>
    </w:p>
    <w:p w14:paraId="6FA515A1" w14:textId="77777777" w:rsidR="008C363C" w:rsidRDefault="008C363C" w:rsidP="008C363C">
      <w:pPr>
        <w:rPr>
          <w:b/>
          <w:bCs/>
          <w:u w:val="single"/>
        </w:rPr>
      </w:pPr>
    </w:p>
    <w:p w14:paraId="0834A201" w14:textId="1DD9F81D" w:rsidR="003F1417" w:rsidRDefault="008C363C" w:rsidP="0085444F">
      <w:r>
        <w:t xml:space="preserve">Thank you to the authors </w:t>
      </w:r>
      <w:r w:rsidR="00822128">
        <w:t>for responding to and addressing many of my initial comments</w:t>
      </w:r>
      <w:r w:rsidR="003F1417">
        <w:t>.</w:t>
      </w:r>
      <w:r w:rsidR="008F10E9">
        <w:t xml:space="preserve"> I appreciate your clarification that this is merely the first step in an incremental process of validating and then extending – this was a helpful framing for me as a reader.</w:t>
      </w:r>
      <w:r w:rsidR="0085444F">
        <w:t xml:space="preserve"> I have reviewed </w:t>
      </w:r>
      <w:r w:rsidR="008F10E9">
        <w:t xml:space="preserve">your responses and </w:t>
      </w:r>
      <w:r w:rsidR="0085444F">
        <w:t>updated proposal and have a few additional comments for this round:</w:t>
      </w:r>
    </w:p>
    <w:p w14:paraId="4392FFFA" w14:textId="77777777" w:rsidR="0085444F" w:rsidRDefault="0085444F" w:rsidP="0085444F"/>
    <w:p w14:paraId="66742848" w14:textId="3C71D336" w:rsidR="002431A0" w:rsidRDefault="002431A0" w:rsidP="0085444F">
      <w:pPr>
        <w:pStyle w:val="ListParagraph"/>
        <w:numPr>
          <w:ilvl w:val="0"/>
          <w:numId w:val="7"/>
        </w:numPr>
      </w:pPr>
      <w:r w:rsidRPr="000572D7">
        <w:rPr>
          <w:b/>
          <w:bCs/>
        </w:rPr>
        <w:t>Terminology:</w:t>
      </w:r>
      <w:r>
        <w:t xml:space="preserve"> I would recommend</w:t>
      </w:r>
      <w:r w:rsidR="009F250B">
        <w:t xml:space="preserve"> clarifying the terms you use throughout the paper, such as heuristics/biases vs. research questions. Maybe adding the relevant heuristic/bias to each row of the table on page 5 could be helpful too.</w:t>
      </w:r>
    </w:p>
    <w:p w14:paraId="6AACFD9E" w14:textId="04AC70E8" w:rsidR="00B51473" w:rsidRDefault="0085444F" w:rsidP="0085444F">
      <w:pPr>
        <w:pStyle w:val="ListParagraph"/>
        <w:numPr>
          <w:ilvl w:val="0"/>
          <w:numId w:val="7"/>
        </w:numPr>
      </w:pPr>
      <w:r w:rsidRPr="000572D7">
        <w:rPr>
          <w:b/>
          <w:bCs/>
        </w:rPr>
        <w:t>Interpretation</w:t>
      </w:r>
      <w:r w:rsidR="00E71989" w:rsidRPr="000572D7">
        <w:rPr>
          <w:b/>
          <w:bCs/>
        </w:rPr>
        <w:t xml:space="preserve">s </w:t>
      </w:r>
      <w:r w:rsidR="0069019F" w:rsidRPr="000572D7">
        <w:rPr>
          <w:b/>
          <w:bCs/>
        </w:rPr>
        <w:t>and impact</w:t>
      </w:r>
      <w:r w:rsidRPr="000572D7">
        <w:rPr>
          <w:b/>
          <w:bCs/>
        </w:rPr>
        <w:t xml:space="preserve"> (page 5):</w:t>
      </w:r>
      <w:r>
        <w:t xml:space="preserve"> I appreciate that you added this section, but I have </w:t>
      </w:r>
      <w:r w:rsidR="0069019F">
        <w:t>three</w:t>
      </w:r>
      <w:r>
        <w:t xml:space="preserve"> concerns about it</w:t>
      </w:r>
      <w:r w:rsidR="00B51473">
        <w:t>:</w:t>
      </w:r>
    </w:p>
    <w:p w14:paraId="525A6648" w14:textId="17B5223C" w:rsidR="00B51473" w:rsidRDefault="0085444F" w:rsidP="00B51473">
      <w:pPr>
        <w:pStyle w:val="ListParagraph"/>
        <w:numPr>
          <w:ilvl w:val="1"/>
          <w:numId w:val="7"/>
        </w:numPr>
      </w:pPr>
      <w:r>
        <w:t>First, you focus primarily on determining thresholds for a successful vs. unsuccessful replication, but you do not discuss what each outcome would mean for the psychology of charitable giving more broadly.</w:t>
      </w:r>
      <w:r w:rsidR="00B51473">
        <w:t xml:space="preserve"> I would recommend detailing, for each research question, how you would interpret the results if you </w:t>
      </w:r>
      <w:proofErr w:type="gramStart"/>
      <w:r w:rsidR="00B51473">
        <w:t>do</w:t>
      </w:r>
      <w:proofErr w:type="gramEnd"/>
      <w:r w:rsidR="00B51473">
        <w:t xml:space="preserve"> or do not replicate the original effect. As Jonathan Berman recommended in his previous review, if you fail to replicate one of the original findings then you can use </w:t>
      </w:r>
      <w:proofErr w:type="spellStart"/>
      <w:r w:rsidR="00B51473">
        <w:t>Simonsohn’s</w:t>
      </w:r>
      <w:proofErr w:type="spellEnd"/>
      <w:r w:rsidR="00B51473">
        <w:t xml:space="preserve"> small-telescopes analysis to conclude that the original study was underpowered to detect the true effect in the first place.</w:t>
      </w:r>
      <w:r w:rsidR="003B05DC">
        <w:t xml:space="preserve"> Then you have a basis to discuss which biases are likely real vs. not real, and </w:t>
      </w:r>
      <w:r w:rsidR="00B50B22">
        <w:t xml:space="preserve">how this contributes to what we know about </w:t>
      </w:r>
      <w:r w:rsidR="0078743D">
        <w:t>the drivers of</w:t>
      </w:r>
      <w:r w:rsidR="00B50B22">
        <w:t xml:space="preserve"> prosocial behavior</w:t>
      </w:r>
      <w:r w:rsidR="003B05DC">
        <w:t>.</w:t>
      </w:r>
    </w:p>
    <w:p w14:paraId="60A6580B" w14:textId="38156EEE" w:rsidR="0085444F" w:rsidRDefault="0069019F" w:rsidP="00B51473">
      <w:pPr>
        <w:pStyle w:val="ListParagraph"/>
        <w:numPr>
          <w:ilvl w:val="1"/>
          <w:numId w:val="7"/>
        </w:numPr>
      </w:pPr>
      <w:r>
        <w:t>S</w:t>
      </w:r>
      <w:r w:rsidR="0085444F">
        <w:t xml:space="preserve">econd, </w:t>
      </w:r>
      <w:r w:rsidR="00B51473">
        <w:t xml:space="preserve">I think I disagree with lumping all of the individual research questions and studies into one bucket when discussing what would count as a successful vs. unsuccessful replication. For the purpose of declaring whether </w:t>
      </w:r>
      <w:r w:rsidR="00424F66">
        <w:t>the overall replication effort was a success for the original paper</w:t>
      </w:r>
      <w:r w:rsidR="00B51473">
        <w:t xml:space="preserve">, perhaps I agree that </w:t>
      </w:r>
      <w:r w:rsidR="00424F66">
        <w:t>a threshold</w:t>
      </w:r>
      <w:r w:rsidR="00B51473">
        <w:t xml:space="preserve"> </w:t>
      </w:r>
      <w:r w:rsidR="00424F66">
        <w:t>is useful</w:t>
      </w:r>
      <w:r w:rsidR="00B51473">
        <w:t xml:space="preserve">. But I also think it is important to consider each research question </w:t>
      </w:r>
      <w:r w:rsidR="005B5CFC">
        <w:t xml:space="preserve">(e.g., waste, past costs, overhead) </w:t>
      </w:r>
      <w:r w:rsidR="00B51473">
        <w:t xml:space="preserve">in isolation, because they are quite different. </w:t>
      </w:r>
      <w:r w:rsidR="002244B2">
        <w:t xml:space="preserve">I also find it a bit confusing what you mean when you </w:t>
      </w:r>
      <w:proofErr w:type="gramStart"/>
      <w:r w:rsidR="002244B2">
        <w:t>say</w:t>
      </w:r>
      <w:proofErr w:type="gramEnd"/>
      <w:r w:rsidR="002244B2">
        <w:t xml:space="preserve"> “</w:t>
      </w:r>
      <w:r w:rsidR="002244B2" w:rsidRPr="002244B2">
        <w:rPr>
          <w:lang w:val="en"/>
        </w:rPr>
        <w:t>at least 80% of the studies (i.e., 4 or 5, out of 5) showed a signal in the same direction as the original study</w:t>
      </w:r>
      <w:r w:rsidR="002244B2">
        <w:rPr>
          <w:lang w:val="en"/>
        </w:rPr>
        <w:t>.” My understanding is that there are many different research questions being tested in each study, so I wasn’t sure how you would determine if an entire study replicates.</w:t>
      </w:r>
      <w:r w:rsidR="005B5CFC">
        <w:rPr>
          <w:lang w:val="en"/>
        </w:rPr>
        <w:t xml:space="preserve"> Clarification here could be very helpful.</w:t>
      </w:r>
    </w:p>
    <w:p w14:paraId="4F1E149B" w14:textId="6E721271" w:rsidR="0069019F" w:rsidRDefault="0069019F" w:rsidP="00B51473">
      <w:pPr>
        <w:pStyle w:val="ListParagraph"/>
        <w:numPr>
          <w:ilvl w:val="1"/>
          <w:numId w:val="7"/>
        </w:numPr>
      </w:pPr>
      <w:r>
        <w:t>And third, I would recommend fleshing out the theory impact a bit more, related to my first point above. I’d love to see a more detailed discussion of what each outcome would mean for each research question</w:t>
      </w:r>
      <w:r w:rsidR="0057082B">
        <w:t xml:space="preserve">. </w:t>
      </w:r>
      <w:r w:rsidR="00E02C42">
        <w:t>This project could have several specific theoretical implications beyond showing that people donate inefficiently.</w:t>
      </w:r>
    </w:p>
    <w:p w14:paraId="672052DD" w14:textId="56D2E305" w:rsidR="009F250B" w:rsidRDefault="009F250B" w:rsidP="009F250B">
      <w:pPr>
        <w:pStyle w:val="ListParagraph"/>
        <w:numPr>
          <w:ilvl w:val="0"/>
          <w:numId w:val="7"/>
        </w:numPr>
      </w:pPr>
      <w:r w:rsidRPr="000572D7">
        <w:rPr>
          <w:b/>
          <w:bCs/>
        </w:rPr>
        <w:t>Diversification effect:</w:t>
      </w:r>
      <w:r>
        <w:t xml:space="preserve"> I agree with Jonathan Berman’s earlier comment that comparing donations to the less effective charity with a reference point of $0 is likely to result in some participants donating to the less effective charity no matter what, just due to inattention or misunderstanding. The equal-effectiveness control condition that you added </w:t>
      </w:r>
      <w:r>
        <w:lastRenderedPageBreak/>
        <w:t xml:space="preserve">is, I believe, insufficient as a comparison. I would recommend instead (or also) adding a condition where the many-projects charity is </w:t>
      </w:r>
      <w:r>
        <w:rPr>
          <w:i/>
          <w:iCs/>
        </w:rPr>
        <w:t>more</w:t>
      </w:r>
      <w:r>
        <w:t xml:space="preserve"> effective (by the same amount as in the condition where the one-project charity is more effective). Then you can compare the amount allocated to the less-effective charity when (1) the less-effective charity is the one with one project vs. (2) the less-effective charity is the one with several projects. If the allocation</w:t>
      </w:r>
      <w:r w:rsidR="009A2F28">
        <w:t xml:space="preserve"> to </w:t>
      </w:r>
      <w:proofErr w:type="gramStart"/>
      <w:r w:rsidR="009A2F28">
        <w:t>less-effective</w:t>
      </w:r>
      <w:proofErr w:type="gramEnd"/>
      <w:r>
        <w:t xml:space="preserve"> in </w:t>
      </w:r>
      <w:r w:rsidR="009A2F28">
        <w:t xml:space="preserve">(2) is greater than in (1), then you can conclude that people have a </w:t>
      </w:r>
      <w:r w:rsidR="0032494C">
        <w:t>bias toward diversification</w:t>
      </w:r>
      <w:r w:rsidR="009A2F28">
        <w:t>.</w:t>
      </w:r>
    </w:p>
    <w:p w14:paraId="57DF6B38" w14:textId="02F2D8D0" w:rsidR="00191DF3" w:rsidRDefault="00191DF3" w:rsidP="009F250B">
      <w:pPr>
        <w:pStyle w:val="ListParagraph"/>
        <w:numPr>
          <w:ilvl w:val="0"/>
          <w:numId w:val="7"/>
        </w:numPr>
      </w:pPr>
      <w:r w:rsidRPr="000572D7">
        <w:rPr>
          <w:b/>
          <w:bCs/>
        </w:rPr>
        <w:t>Scale point order:</w:t>
      </w:r>
      <w:r w:rsidR="00C71FDD">
        <w:t xml:space="preserve"> In my initial review, I suggested that you randomize the order in which Charity A and Charity B are presented for each scenario.</w:t>
      </w:r>
      <w:r w:rsidR="00902F1E">
        <w:t xml:space="preserve"> I do understand that you want to stick as closely as possible to the original studies, and </w:t>
      </w:r>
      <w:proofErr w:type="gramStart"/>
      <w:r w:rsidR="00902F1E">
        <w:t>ultimately</w:t>
      </w:r>
      <w:proofErr w:type="gramEnd"/>
      <w:r w:rsidR="00902F1E">
        <w:t xml:space="preserve"> I defer to the authors’ judgment. However, I </w:t>
      </w:r>
      <w:r w:rsidR="006D79CF">
        <w:t>wanted to discuss a few of my</w:t>
      </w:r>
      <w:r w:rsidR="00902F1E">
        <w:t xml:space="preserve"> concerns </w:t>
      </w:r>
      <w:r w:rsidR="006D79CF">
        <w:t>with</w:t>
      </w:r>
      <w:r w:rsidR="00902F1E">
        <w:t xml:space="preserve"> this choice </w:t>
      </w:r>
      <w:r w:rsidR="006D79CF">
        <w:t>and explain a bit more why it might matter</w:t>
      </w:r>
      <w:r w:rsidR="00902F1E">
        <w:t>:</w:t>
      </w:r>
    </w:p>
    <w:p w14:paraId="0C413654" w14:textId="045539B4" w:rsidR="00902F1E" w:rsidRDefault="00902F1E" w:rsidP="00902F1E">
      <w:pPr>
        <w:pStyle w:val="ListParagraph"/>
        <w:numPr>
          <w:ilvl w:val="1"/>
          <w:numId w:val="7"/>
        </w:numPr>
      </w:pPr>
      <w:r>
        <w:t xml:space="preserve">First, </w:t>
      </w:r>
      <w:r w:rsidR="00B51910">
        <w:t>to clarify, I was not suggesting that you randomize the scale points within a given page/set of questions – instead, I was suggesting that you use the same order within a page of questions but merely randomize between-subjects which charity is A vs. B in the scenario itself (which naturally affects which side of the scale refers to which charity).</w:t>
      </w:r>
      <w:r w:rsidR="00166C15">
        <w:t xml:space="preserve"> </w:t>
      </w:r>
      <w:r w:rsidR="004D30DB">
        <w:t>This means</w:t>
      </w:r>
      <w:r w:rsidR="00166C15">
        <w:t xml:space="preserve"> there should be no </w:t>
      </w:r>
      <w:r w:rsidR="00705D5B">
        <w:t>issues with</w:t>
      </w:r>
      <w:r w:rsidR="00166C15">
        <w:t xml:space="preserve"> </w:t>
      </w:r>
      <w:r w:rsidR="00705D5B">
        <w:t xml:space="preserve">confusing or frustrating </w:t>
      </w:r>
      <w:r w:rsidR="00166C15">
        <w:t xml:space="preserve">participants – both orders </w:t>
      </w:r>
      <w:r w:rsidR="00F07577">
        <w:t>would</w:t>
      </w:r>
      <w:r w:rsidR="00166C15">
        <w:t xml:space="preserve"> be equally </w:t>
      </w:r>
      <w:r w:rsidR="0028231E">
        <w:t>clear</w:t>
      </w:r>
      <w:r w:rsidR="00166C15">
        <w:t>.</w:t>
      </w:r>
    </w:p>
    <w:p w14:paraId="08357FE4" w14:textId="18A196B4" w:rsidR="00DE6BAB" w:rsidRDefault="00166C15" w:rsidP="00DE6BAB">
      <w:pPr>
        <w:pStyle w:val="ListParagraph"/>
        <w:numPr>
          <w:ilvl w:val="1"/>
          <w:numId w:val="7"/>
        </w:numPr>
      </w:pPr>
      <w:r>
        <w:t xml:space="preserve">Second, </w:t>
      </w:r>
      <w:r w:rsidR="00373C0B">
        <w:t>I</w:t>
      </w:r>
      <w:r w:rsidR="00D4043D">
        <w:t xml:space="preserve">’m unsure whether it makes sense </w:t>
      </w:r>
      <w:r w:rsidR="00E02469">
        <w:t xml:space="preserve">in this case </w:t>
      </w:r>
      <w:r w:rsidR="00D4043D">
        <w:t xml:space="preserve">to </w:t>
      </w:r>
      <w:r w:rsidR="007E6A66">
        <w:t xml:space="preserve">follow </w:t>
      </w:r>
      <w:r w:rsidR="00E02469">
        <w:t>the</w:t>
      </w:r>
      <w:r w:rsidR="007E6A66">
        <w:t xml:space="preserve"> </w:t>
      </w:r>
      <w:r w:rsidR="00DF1BC9">
        <w:t xml:space="preserve">exact methods of the </w:t>
      </w:r>
      <w:r w:rsidR="007E6A66">
        <w:t>original studie</w:t>
      </w:r>
      <w:r w:rsidR="00DF1BC9">
        <w:t>s</w:t>
      </w:r>
      <w:r w:rsidR="00373C0B">
        <w:t xml:space="preserve">. On one hand, I understand the benefits of using the same scale orientations that the original studies used so that you can directly compare effect sizes between the original and replication studies. On the other hand, I believe that replications </w:t>
      </w:r>
      <w:r w:rsidR="00D10267">
        <w:t>are valuable</w:t>
      </w:r>
      <w:r w:rsidR="00373C0B">
        <w:t xml:space="preserve"> not only </w:t>
      </w:r>
      <w:r w:rsidR="002D30A5">
        <w:t>for</w:t>
      </w:r>
      <w:r w:rsidR="00373C0B">
        <w:t xml:space="preserve"> determin</w:t>
      </w:r>
      <w:r w:rsidR="002D30A5">
        <w:t>ing</w:t>
      </w:r>
      <w:r w:rsidR="00373C0B">
        <w:t xml:space="preserve"> if an original effect </w:t>
      </w:r>
      <w:r w:rsidR="007E6A66">
        <w:t>replicates</w:t>
      </w:r>
      <w:r w:rsidR="00373C0B">
        <w:t xml:space="preserve"> in a technical sense, but also if the </w:t>
      </w:r>
      <w:r w:rsidR="00ED6631">
        <w:t xml:space="preserve">underlying </w:t>
      </w:r>
      <w:r w:rsidR="007E6A66">
        <w:t>phenomenon truly exists</w:t>
      </w:r>
      <w:r w:rsidR="00373C0B">
        <w:t xml:space="preserve">. Methodological choices in the original study that </w:t>
      </w:r>
      <w:r w:rsidR="00ED6631">
        <w:t>could</w:t>
      </w:r>
      <w:r w:rsidR="00373C0B">
        <w:t xml:space="preserve"> obscure our understanding of the truth are important to consider and potentially address. For instance: say you noticed a confound in the original stimuli that </w:t>
      </w:r>
      <w:r w:rsidR="00ED6631">
        <w:t>might</w:t>
      </w:r>
      <w:r w:rsidR="00373C0B">
        <w:t xml:space="preserve"> explain an effect. If this confound is indeed responsible for the effect, then replicating the original </w:t>
      </w:r>
      <w:r w:rsidR="00ED6631">
        <w:t>study</w:t>
      </w:r>
      <w:r w:rsidR="00373C0B">
        <w:t xml:space="preserve"> with identical stimuli might not tell you anything about the </w:t>
      </w:r>
      <w:r w:rsidR="009910CD">
        <w:t xml:space="preserve">existence of the phenomenon (even if it tells you that the effect </w:t>
      </w:r>
      <w:r w:rsidR="00ED6631">
        <w:t>is obtainable with these exact stimuli</w:t>
      </w:r>
      <w:r w:rsidR="009910CD">
        <w:t>).</w:t>
      </w:r>
      <w:r w:rsidR="003B2580">
        <w:t xml:space="preserve"> However, I recognize now that you are thinking of this replication </w:t>
      </w:r>
      <w:r w:rsidR="00240120">
        <w:t>project</w:t>
      </w:r>
      <w:r w:rsidR="003B2580">
        <w:t xml:space="preserve"> as an initial step to establish the validity of the original effects before you or others </w:t>
      </w:r>
      <w:r w:rsidR="00DE6BAB">
        <w:t>build on them, so I’m sympathetic to your desire to keep the survey as-is.</w:t>
      </w:r>
    </w:p>
    <w:p w14:paraId="37039CA9" w14:textId="068F0B40" w:rsidR="00317AEE" w:rsidRDefault="00BF2830" w:rsidP="00902F1E">
      <w:pPr>
        <w:pStyle w:val="ListParagraph"/>
        <w:numPr>
          <w:ilvl w:val="1"/>
          <w:numId w:val="7"/>
        </w:numPr>
      </w:pPr>
      <w:r>
        <w:t>Finally</w:t>
      </w:r>
      <w:r w:rsidR="00317AEE">
        <w:t xml:space="preserve">, </w:t>
      </w:r>
      <w:r w:rsidR="007143A7">
        <w:t xml:space="preserve">to see for myself whether </w:t>
      </w:r>
      <w:r w:rsidR="003A4041">
        <w:t xml:space="preserve">charity </w:t>
      </w:r>
      <w:r w:rsidR="009F6A21">
        <w:t xml:space="preserve">order </w:t>
      </w:r>
      <w:r w:rsidR="007143A7">
        <w:t xml:space="preserve">might </w:t>
      </w:r>
      <w:r w:rsidR="009F6A21">
        <w:t>impact your results</w:t>
      </w:r>
      <w:r w:rsidR="00B54FCD">
        <w:t xml:space="preserve">, I collected data from </w:t>
      </w:r>
      <w:r w:rsidR="007A0FCA">
        <w:t>399</w:t>
      </w:r>
      <w:r w:rsidR="00B54FCD">
        <w:t xml:space="preserve"> </w:t>
      </w:r>
      <w:r w:rsidR="006E02A3">
        <w:t xml:space="preserve">Prolific </w:t>
      </w:r>
      <w:r w:rsidR="00B54FCD">
        <w:t>participants</w:t>
      </w:r>
      <w:r w:rsidR="003A6A9B">
        <w:t xml:space="preserve"> using</w:t>
      </w:r>
      <w:r w:rsidR="00C6585F">
        <w:t xml:space="preserve"> </w:t>
      </w:r>
      <w:r w:rsidR="003A6A9B">
        <w:t>four of your</w:t>
      </w:r>
      <w:r w:rsidR="00C6585F">
        <w:t xml:space="preserve"> scenarios: waste/overhead (study 1), diversification with equal efficiency (studies 1-2), nationalism (study 1), and average cost (study 2).</w:t>
      </w:r>
      <w:r w:rsidR="001B614A">
        <w:t xml:space="preserve"> I used your exact stimuli and </w:t>
      </w:r>
      <w:r w:rsidR="002C4475">
        <w:t>measures</w:t>
      </w:r>
      <w:r w:rsidR="001E2C78">
        <w:t>, but</w:t>
      </w:r>
      <w:r w:rsidR="001B614A">
        <w:t xml:space="preserve"> randomized which charity was A vs. B</w:t>
      </w:r>
      <w:r w:rsidR="00AC706A">
        <w:t xml:space="preserve"> (and thus </w:t>
      </w:r>
      <w:r w:rsidR="00B375BC">
        <w:t>allocations</w:t>
      </w:r>
      <w:r w:rsidR="00AC706A">
        <w:t xml:space="preserve"> </w:t>
      </w:r>
      <w:r w:rsidR="0039763E">
        <w:t>in the reverse-order condition</w:t>
      </w:r>
      <w:r w:rsidR="00B375BC">
        <w:t xml:space="preserve"> were reverse-coded</w:t>
      </w:r>
      <w:r w:rsidR="00AC706A">
        <w:t>)</w:t>
      </w:r>
      <w:r w:rsidR="001B614A">
        <w:t>.</w:t>
      </w:r>
      <w:r w:rsidR="00B51D72">
        <w:t xml:space="preserve"> </w:t>
      </w:r>
      <w:r w:rsidR="00AC706A">
        <w:t xml:space="preserve">I found </w:t>
      </w:r>
      <w:r w:rsidR="005A0745">
        <w:t xml:space="preserve">a few </w:t>
      </w:r>
      <w:r w:rsidR="00AC706A">
        <w:t>marginal</w:t>
      </w:r>
      <w:r w:rsidR="00F21732">
        <w:t>ly significant</w:t>
      </w:r>
      <w:r w:rsidR="00AC706A">
        <w:t xml:space="preserve"> </w:t>
      </w:r>
      <w:r w:rsidR="005A0745">
        <w:t xml:space="preserve">order </w:t>
      </w:r>
      <w:r w:rsidR="00AC706A">
        <w:t>effects</w:t>
      </w:r>
      <w:r w:rsidR="007B7A1E">
        <w:t>:</w:t>
      </w:r>
      <w:r w:rsidR="005A0745">
        <w:t xml:space="preserve"> </w:t>
      </w:r>
      <w:r w:rsidR="007B7A1E">
        <w:t>F</w:t>
      </w:r>
      <w:r w:rsidR="005A0745">
        <w:t>or example</w:t>
      </w:r>
      <w:r w:rsidR="002F053D">
        <w:t>,</w:t>
      </w:r>
      <w:r w:rsidR="005A0745">
        <w:t xml:space="preserve"> </w:t>
      </w:r>
      <w:r w:rsidR="00160795">
        <w:t xml:space="preserve">in the average cost scenario, </w:t>
      </w:r>
      <w:r w:rsidR="00AC706A">
        <w:t xml:space="preserve">allocations </w:t>
      </w:r>
      <w:r w:rsidR="00160795">
        <w:t xml:space="preserve">to the lower-average-cost charity </w:t>
      </w:r>
      <w:r w:rsidR="00804D09">
        <w:t xml:space="preserve">were </w:t>
      </w:r>
      <w:r w:rsidR="00335C26">
        <w:t>lower</w:t>
      </w:r>
      <w:r w:rsidR="00804D09">
        <w:t xml:space="preserve"> when it </w:t>
      </w:r>
      <w:r w:rsidR="00892C90">
        <w:t>came</w:t>
      </w:r>
      <w:r w:rsidR="00804D09">
        <w:t xml:space="preserve"> </w:t>
      </w:r>
      <w:r w:rsidR="00335C26">
        <w:t>second</w:t>
      </w:r>
      <w:r w:rsidR="00804D09">
        <w:t xml:space="preserve"> (as charity </w:t>
      </w:r>
      <w:r w:rsidR="00335C26">
        <w:t>B, original order</w:t>
      </w:r>
      <w:r w:rsidR="00804D09">
        <w:t xml:space="preserve">) </w:t>
      </w:r>
      <w:r w:rsidR="00CD75B7">
        <w:t>rather than</w:t>
      </w:r>
      <w:r w:rsidR="00804D09">
        <w:t xml:space="preserve"> </w:t>
      </w:r>
      <w:r w:rsidR="00335C26">
        <w:t>first</w:t>
      </w:r>
      <w:r w:rsidR="00804D09">
        <w:t xml:space="preserve"> (as charity </w:t>
      </w:r>
      <w:r w:rsidR="00335C26">
        <w:t>A, reverse order</w:t>
      </w:r>
      <w:r w:rsidR="00804D09">
        <w:t xml:space="preserve">), </w:t>
      </w:r>
      <w:r w:rsidR="00AC706A">
        <w:t>t=1.83, p=.069</w:t>
      </w:r>
      <w:r w:rsidR="00682902">
        <w:t>.</w:t>
      </w:r>
      <w:r w:rsidR="00AC706A">
        <w:t xml:space="preserve"> </w:t>
      </w:r>
      <w:r w:rsidR="00651811">
        <w:t>And</w:t>
      </w:r>
      <w:r w:rsidR="00AC706A">
        <w:t xml:space="preserve"> </w:t>
      </w:r>
      <w:r w:rsidR="00682902">
        <w:t xml:space="preserve">in the </w:t>
      </w:r>
      <w:r w:rsidR="00AC706A">
        <w:t>overhead</w:t>
      </w:r>
      <w:r w:rsidR="00682902">
        <w:t xml:space="preserve"> scenario,</w:t>
      </w:r>
      <w:r w:rsidR="00DF002E">
        <w:t xml:space="preserve"> allocations to the low-overhead charity were </w:t>
      </w:r>
      <w:r w:rsidR="006A08E0">
        <w:t xml:space="preserve">somewhat </w:t>
      </w:r>
      <w:r w:rsidR="00651811">
        <w:t xml:space="preserve">lower when it </w:t>
      </w:r>
      <w:r w:rsidR="00AD5224">
        <w:t>came</w:t>
      </w:r>
      <w:r w:rsidR="00651811">
        <w:t xml:space="preserve"> second (as charity B, original order) </w:t>
      </w:r>
      <w:r w:rsidR="001C3A7B">
        <w:t>rather than</w:t>
      </w:r>
      <w:r w:rsidR="00651811">
        <w:t xml:space="preserve"> first (as charity A, reverse order),</w:t>
      </w:r>
      <w:r w:rsidR="00AC706A">
        <w:t xml:space="preserve"> t=1.69, p=.092</w:t>
      </w:r>
      <w:r w:rsidR="00651811">
        <w:t>.</w:t>
      </w:r>
      <w:r w:rsidR="009123E9">
        <w:t xml:space="preserve"> For both of these scenarios, there was about a 5-</w:t>
      </w:r>
      <w:r w:rsidR="009123E9">
        <w:lastRenderedPageBreak/>
        <w:t xml:space="preserve">percentage-point difference in allocations depending on order. </w:t>
      </w:r>
      <w:r w:rsidR="00055A2D">
        <w:t>In case it is helpful, I will include a table of descriptives below (and would be happy to share the raw data and survey if you’d like).</w:t>
      </w:r>
      <w:r w:rsidR="00055A2D">
        <w:t xml:space="preserve"> </w:t>
      </w:r>
      <w:r w:rsidR="007D215F">
        <w:t>My takeaway</w:t>
      </w:r>
      <w:r w:rsidR="004E105D">
        <w:t xml:space="preserve"> is that i</w:t>
      </w:r>
      <w:r w:rsidR="00447C97">
        <w:t xml:space="preserve">n contrast to my initial </w:t>
      </w:r>
      <w:r w:rsidR="00C51920">
        <w:t>intuition</w:t>
      </w:r>
      <w:r w:rsidR="00447C97">
        <w:t xml:space="preserve">, </w:t>
      </w:r>
      <w:r w:rsidR="001C1F84">
        <w:t>there was</w:t>
      </w:r>
      <w:r w:rsidR="00C02273">
        <w:t xml:space="preserve"> if anything </w:t>
      </w:r>
      <w:r w:rsidR="001C1F84">
        <w:t>a</w:t>
      </w:r>
      <w:r w:rsidR="00A06D68">
        <w:t xml:space="preserve"> </w:t>
      </w:r>
      <w:r w:rsidR="00A46623">
        <w:t>slight</w:t>
      </w:r>
      <w:r w:rsidR="001C1F84">
        <w:t xml:space="preserve"> bias</w:t>
      </w:r>
      <w:r w:rsidR="00C02273">
        <w:t xml:space="preserve"> towards the left </w:t>
      </w:r>
      <w:r w:rsidR="00DD26ED">
        <w:t xml:space="preserve">side </w:t>
      </w:r>
      <w:r w:rsidR="00C02273">
        <w:t xml:space="preserve">of the </w:t>
      </w:r>
      <w:r w:rsidR="0088190B">
        <w:t>scale</w:t>
      </w:r>
      <w:r w:rsidR="002D6B78">
        <w:t xml:space="preserve">; </w:t>
      </w:r>
      <w:r w:rsidR="009278D7">
        <w:t>and</w:t>
      </w:r>
      <w:r w:rsidR="002D6B78">
        <w:t xml:space="preserve"> while the strength/significance of your findings </w:t>
      </w:r>
      <w:r w:rsidR="003E161E">
        <w:t>might</w:t>
      </w:r>
      <w:r w:rsidR="002D6B78">
        <w:t xml:space="preserve"> be affected by order, the direction is unlikely to change</w:t>
      </w:r>
      <w:r w:rsidR="0088190B">
        <w:t>.</w:t>
      </w:r>
    </w:p>
    <w:p w14:paraId="37D07475" w14:textId="77777777" w:rsidR="00CF3D84" w:rsidRDefault="00CF3D84" w:rsidP="00CF3D84"/>
    <w:p w14:paraId="3B48FC6B" w14:textId="77777777" w:rsidR="0060386C" w:rsidRDefault="0060386C" w:rsidP="0060386C"/>
    <w:tbl>
      <w:tblPr>
        <w:tblStyle w:val="TableGrid"/>
        <w:tblW w:w="0" w:type="auto"/>
        <w:jc w:val="center"/>
        <w:tblLook w:val="04A0" w:firstRow="1" w:lastRow="0" w:firstColumn="1" w:lastColumn="0" w:noHBand="0" w:noVBand="1"/>
      </w:tblPr>
      <w:tblGrid>
        <w:gridCol w:w="1435"/>
        <w:gridCol w:w="990"/>
        <w:gridCol w:w="1890"/>
        <w:gridCol w:w="1620"/>
        <w:gridCol w:w="1710"/>
        <w:gridCol w:w="1705"/>
      </w:tblGrid>
      <w:tr w:rsidR="009271A4" w:rsidRPr="009271A4" w14:paraId="0BDC35FB" w14:textId="77777777" w:rsidTr="009271A4">
        <w:trPr>
          <w:trHeight w:val="1400"/>
          <w:jc w:val="center"/>
        </w:trPr>
        <w:tc>
          <w:tcPr>
            <w:tcW w:w="1435" w:type="dxa"/>
            <w:noWrap/>
            <w:vAlign w:val="center"/>
            <w:hideMark/>
          </w:tcPr>
          <w:p w14:paraId="735C1B5E" w14:textId="77777777" w:rsidR="009271A4" w:rsidRPr="009271A4" w:rsidRDefault="009271A4" w:rsidP="009271A4">
            <w:pPr>
              <w:jc w:val="center"/>
              <w:rPr>
                <w:b/>
                <w:bCs/>
                <w:sz w:val="20"/>
                <w:szCs w:val="20"/>
              </w:rPr>
            </w:pPr>
            <w:r w:rsidRPr="009271A4">
              <w:rPr>
                <w:b/>
                <w:bCs/>
                <w:sz w:val="20"/>
                <w:szCs w:val="20"/>
              </w:rPr>
              <w:t>Scenario</w:t>
            </w:r>
          </w:p>
        </w:tc>
        <w:tc>
          <w:tcPr>
            <w:tcW w:w="990" w:type="dxa"/>
            <w:noWrap/>
            <w:vAlign w:val="center"/>
            <w:hideMark/>
          </w:tcPr>
          <w:p w14:paraId="2F92DC36" w14:textId="77777777" w:rsidR="009271A4" w:rsidRPr="009271A4" w:rsidRDefault="009271A4" w:rsidP="009271A4">
            <w:pPr>
              <w:jc w:val="center"/>
              <w:rPr>
                <w:b/>
                <w:bCs/>
                <w:sz w:val="20"/>
                <w:szCs w:val="20"/>
              </w:rPr>
            </w:pPr>
            <w:r w:rsidRPr="009271A4">
              <w:rPr>
                <w:b/>
                <w:bCs/>
                <w:sz w:val="20"/>
                <w:szCs w:val="20"/>
              </w:rPr>
              <w:t>Order</w:t>
            </w:r>
          </w:p>
        </w:tc>
        <w:tc>
          <w:tcPr>
            <w:tcW w:w="1890" w:type="dxa"/>
            <w:vAlign w:val="center"/>
            <w:hideMark/>
          </w:tcPr>
          <w:p w14:paraId="3016CF39" w14:textId="77777777" w:rsidR="009271A4" w:rsidRPr="009271A4" w:rsidRDefault="009271A4" w:rsidP="009271A4">
            <w:pPr>
              <w:jc w:val="center"/>
              <w:rPr>
                <w:b/>
                <w:bCs/>
                <w:sz w:val="20"/>
                <w:szCs w:val="20"/>
              </w:rPr>
            </w:pPr>
            <w:r w:rsidRPr="009271A4">
              <w:rPr>
                <w:b/>
                <w:bCs/>
                <w:sz w:val="20"/>
                <w:szCs w:val="20"/>
              </w:rPr>
              <w:t>Mean (SD) allocation</w:t>
            </w:r>
            <w:r w:rsidRPr="009271A4">
              <w:rPr>
                <w:b/>
                <w:bCs/>
                <w:sz w:val="20"/>
                <w:szCs w:val="20"/>
              </w:rPr>
              <w:br/>
              <w:t>(to charity preferred in original, 0-100)</w:t>
            </w:r>
          </w:p>
        </w:tc>
        <w:tc>
          <w:tcPr>
            <w:tcW w:w="1620" w:type="dxa"/>
            <w:vAlign w:val="center"/>
            <w:hideMark/>
          </w:tcPr>
          <w:p w14:paraId="76187BBF" w14:textId="77777777" w:rsidR="009271A4" w:rsidRPr="009271A4" w:rsidRDefault="009271A4" w:rsidP="009271A4">
            <w:pPr>
              <w:jc w:val="center"/>
              <w:rPr>
                <w:b/>
                <w:bCs/>
                <w:sz w:val="20"/>
                <w:szCs w:val="20"/>
              </w:rPr>
            </w:pPr>
            <w:r w:rsidRPr="009271A4">
              <w:rPr>
                <w:b/>
                <w:bCs/>
                <w:sz w:val="20"/>
                <w:szCs w:val="20"/>
              </w:rPr>
              <w:t>Feeling</w:t>
            </w:r>
            <w:r w:rsidRPr="009271A4">
              <w:rPr>
                <w:b/>
                <w:bCs/>
                <w:sz w:val="20"/>
                <w:szCs w:val="20"/>
              </w:rPr>
              <w:br/>
              <w:t>(% choosing in line with original finding)</w:t>
            </w:r>
          </w:p>
        </w:tc>
        <w:tc>
          <w:tcPr>
            <w:tcW w:w="1710" w:type="dxa"/>
            <w:vAlign w:val="center"/>
            <w:hideMark/>
          </w:tcPr>
          <w:p w14:paraId="24503783" w14:textId="77777777" w:rsidR="009271A4" w:rsidRPr="009271A4" w:rsidRDefault="009271A4" w:rsidP="009271A4">
            <w:pPr>
              <w:jc w:val="center"/>
              <w:rPr>
                <w:b/>
                <w:bCs/>
                <w:sz w:val="20"/>
                <w:szCs w:val="20"/>
              </w:rPr>
            </w:pPr>
            <w:r w:rsidRPr="009271A4">
              <w:rPr>
                <w:b/>
                <w:bCs/>
                <w:sz w:val="20"/>
                <w:szCs w:val="20"/>
              </w:rPr>
              <w:t>Effective</w:t>
            </w:r>
            <w:r w:rsidRPr="009271A4">
              <w:rPr>
                <w:b/>
                <w:bCs/>
                <w:sz w:val="20"/>
                <w:szCs w:val="20"/>
              </w:rPr>
              <w:br/>
              <w:t>(% choosing in line with original finding)</w:t>
            </w:r>
          </w:p>
        </w:tc>
        <w:tc>
          <w:tcPr>
            <w:tcW w:w="1705" w:type="dxa"/>
            <w:vAlign w:val="center"/>
            <w:hideMark/>
          </w:tcPr>
          <w:p w14:paraId="346E7070" w14:textId="77777777" w:rsidR="009271A4" w:rsidRPr="009271A4" w:rsidRDefault="009271A4" w:rsidP="009271A4">
            <w:pPr>
              <w:jc w:val="center"/>
              <w:rPr>
                <w:b/>
                <w:bCs/>
                <w:sz w:val="20"/>
                <w:szCs w:val="20"/>
              </w:rPr>
            </w:pPr>
            <w:r w:rsidRPr="009271A4">
              <w:rPr>
                <w:b/>
                <w:bCs/>
                <w:sz w:val="20"/>
                <w:szCs w:val="20"/>
              </w:rPr>
              <w:t>Some good</w:t>
            </w:r>
            <w:r w:rsidRPr="009271A4">
              <w:rPr>
                <w:b/>
                <w:bCs/>
                <w:sz w:val="20"/>
                <w:szCs w:val="20"/>
              </w:rPr>
              <w:br/>
              <w:t>(% choosing in line with original finding)</w:t>
            </w:r>
          </w:p>
        </w:tc>
      </w:tr>
      <w:tr w:rsidR="009271A4" w:rsidRPr="009271A4" w14:paraId="7CA63FC6" w14:textId="77777777" w:rsidTr="009271A4">
        <w:trPr>
          <w:trHeight w:val="700"/>
          <w:jc w:val="center"/>
        </w:trPr>
        <w:tc>
          <w:tcPr>
            <w:tcW w:w="1435" w:type="dxa"/>
            <w:vMerge w:val="restart"/>
            <w:vAlign w:val="center"/>
            <w:hideMark/>
          </w:tcPr>
          <w:p w14:paraId="1A0FA7FE" w14:textId="77777777" w:rsidR="009271A4" w:rsidRPr="009271A4" w:rsidRDefault="009271A4" w:rsidP="009271A4">
            <w:pPr>
              <w:jc w:val="center"/>
              <w:rPr>
                <w:sz w:val="20"/>
                <w:szCs w:val="20"/>
              </w:rPr>
            </w:pPr>
            <w:r w:rsidRPr="009271A4">
              <w:rPr>
                <w:sz w:val="20"/>
                <w:szCs w:val="20"/>
              </w:rPr>
              <w:t>Diversification</w:t>
            </w:r>
            <w:r w:rsidRPr="009271A4">
              <w:rPr>
                <w:sz w:val="20"/>
                <w:szCs w:val="20"/>
              </w:rPr>
              <w:br/>
              <w:t>(preference for multiple over single)</w:t>
            </w:r>
          </w:p>
        </w:tc>
        <w:tc>
          <w:tcPr>
            <w:tcW w:w="990" w:type="dxa"/>
            <w:noWrap/>
            <w:vAlign w:val="center"/>
            <w:hideMark/>
          </w:tcPr>
          <w:p w14:paraId="65AC6B86" w14:textId="77777777" w:rsidR="009271A4" w:rsidRPr="009271A4" w:rsidRDefault="009271A4" w:rsidP="009271A4">
            <w:pPr>
              <w:jc w:val="center"/>
              <w:rPr>
                <w:sz w:val="20"/>
                <w:szCs w:val="20"/>
              </w:rPr>
            </w:pPr>
            <w:r w:rsidRPr="009271A4">
              <w:rPr>
                <w:sz w:val="20"/>
                <w:szCs w:val="20"/>
              </w:rPr>
              <w:t>original</w:t>
            </w:r>
          </w:p>
        </w:tc>
        <w:tc>
          <w:tcPr>
            <w:tcW w:w="1890" w:type="dxa"/>
            <w:vAlign w:val="center"/>
            <w:hideMark/>
          </w:tcPr>
          <w:p w14:paraId="22A5F2FC" w14:textId="77777777" w:rsidR="009271A4" w:rsidRPr="009271A4" w:rsidRDefault="009271A4" w:rsidP="009271A4">
            <w:pPr>
              <w:jc w:val="center"/>
              <w:rPr>
                <w:sz w:val="20"/>
                <w:szCs w:val="20"/>
              </w:rPr>
            </w:pPr>
            <w:r w:rsidRPr="009271A4">
              <w:rPr>
                <w:sz w:val="20"/>
                <w:szCs w:val="20"/>
              </w:rPr>
              <w:t>46.58</w:t>
            </w:r>
            <w:r w:rsidRPr="009271A4">
              <w:rPr>
                <w:sz w:val="20"/>
                <w:szCs w:val="20"/>
              </w:rPr>
              <w:br/>
              <w:t>(24.99)</w:t>
            </w:r>
          </w:p>
        </w:tc>
        <w:tc>
          <w:tcPr>
            <w:tcW w:w="1620" w:type="dxa"/>
            <w:noWrap/>
            <w:vAlign w:val="center"/>
            <w:hideMark/>
          </w:tcPr>
          <w:p w14:paraId="53677853" w14:textId="77777777" w:rsidR="009271A4" w:rsidRPr="009271A4" w:rsidRDefault="009271A4" w:rsidP="009271A4">
            <w:pPr>
              <w:jc w:val="center"/>
              <w:rPr>
                <w:sz w:val="20"/>
                <w:szCs w:val="20"/>
              </w:rPr>
            </w:pPr>
            <w:r w:rsidRPr="009271A4">
              <w:rPr>
                <w:sz w:val="20"/>
                <w:szCs w:val="20"/>
              </w:rPr>
              <w:t>20%</w:t>
            </w:r>
          </w:p>
        </w:tc>
        <w:tc>
          <w:tcPr>
            <w:tcW w:w="1710" w:type="dxa"/>
            <w:noWrap/>
            <w:vAlign w:val="center"/>
            <w:hideMark/>
          </w:tcPr>
          <w:p w14:paraId="437FECA2" w14:textId="77777777" w:rsidR="009271A4" w:rsidRPr="009271A4" w:rsidRDefault="009271A4" w:rsidP="009271A4">
            <w:pPr>
              <w:jc w:val="center"/>
              <w:rPr>
                <w:sz w:val="20"/>
                <w:szCs w:val="20"/>
              </w:rPr>
            </w:pPr>
            <w:r w:rsidRPr="009271A4">
              <w:rPr>
                <w:sz w:val="20"/>
                <w:szCs w:val="20"/>
              </w:rPr>
              <w:t>19%</w:t>
            </w:r>
          </w:p>
        </w:tc>
        <w:tc>
          <w:tcPr>
            <w:tcW w:w="1705" w:type="dxa"/>
            <w:noWrap/>
            <w:vAlign w:val="center"/>
            <w:hideMark/>
          </w:tcPr>
          <w:p w14:paraId="1DA5CC95" w14:textId="77777777" w:rsidR="009271A4" w:rsidRPr="009271A4" w:rsidRDefault="009271A4" w:rsidP="009271A4">
            <w:pPr>
              <w:jc w:val="center"/>
              <w:rPr>
                <w:sz w:val="20"/>
                <w:szCs w:val="20"/>
              </w:rPr>
            </w:pPr>
            <w:r w:rsidRPr="009271A4">
              <w:rPr>
                <w:sz w:val="20"/>
                <w:szCs w:val="20"/>
              </w:rPr>
              <w:t>20%</w:t>
            </w:r>
          </w:p>
        </w:tc>
      </w:tr>
      <w:tr w:rsidR="009271A4" w:rsidRPr="009271A4" w14:paraId="4F790F6D" w14:textId="77777777" w:rsidTr="009271A4">
        <w:trPr>
          <w:trHeight w:val="700"/>
          <w:jc w:val="center"/>
        </w:trPr>
        <w:tc>
          <w:tcPr>
            <w:tcW w:w="1435" w:type="dxa"/>
            <w:vMerge/>
            <w:vAlign w:val="center"/>
            <w:hideMark/>
          </w:tcPr>
          <w:p w14:paraId="10E9925B" w14:textId="77777777" w:rsidR="009271A4" w:rsidRPr="009271A4" w:rsidRDefault="009271A4" w:rsidP="009271A4">
            <w:pPr>
              <w:jc w:val="center"/>
              <w:rPr>
                <w:sz w:val="20"/>
                <w:szCs w:val="20"/>
              </w:rPr>
            </w:pPr>
          </w:p>
        </w:tc>
        <w:tc>
          <w:tcPr>
            <w:tcW w:w="990" w:type="dxa"/>
            <w:noWrap/>
            <w:vAlign w:val="center"/>
            <w:hideMark/>
          </w:tcPr>
          <w:p w14:paraId="6BA0779C" w14:textId="77777777" w:rsidR="009271A4" w:rsidRPr="009271A4" w:rsidRDefault="009271A4" w:rsidP="009271A4">
            <w:pPr>
              <w:jc w:val="center"/>
              <w:rPr>
                <w:sz w:val="20"/>
                <w:szCs w:val="20"/>
              </w:rPr>
            </w:pPr>
            <w:r w:rsidRPr="009271A4">
              <w:rPr>
                <w:sz w:val="20"/>
                <w:szCs w:val="20"/>
              </w:rPr>
              <w:t>reverse</w:t>
            </w:r>
          </w:p>
        </w:tc>
        <w:tc>
          <w:tcPr>
            <w:tcW w:w="1890" w:type="dxa"/>
            <w:vAlign w:val="center"/>
            <w:hideMark/>
          </w:tcPr>
          <w:p w14:paraId="0619919D" w14:textId="77777777" w:rsidR="009271A4" w:rsidRPr="009271A4" w:rsidRDefault="009271A4" w:rsidP="009271A4">
            <w:pPr>
              <w:jc w:val="center"/>
              <w:rPr>
                <w:sz w:val="20"/>
                <w:szCs w:val="20"/>
              </w:rPr>
            </w:pPr>
            <w:r w:rsidRPr="009271A4">
              <w:rPr>
                <w:sz w:val="20"/>
                <w:szCs w:val="20"/>
              </w:rPr>
              <w:t>43.25</w:t>
            </w:r>
            <w:r w:rsidRPr="009271A4">
              <w:rPr>
                <w:sz w:val="20"/>
                <w:szCs w:val="20"/>
              </w:rPr>
              <w:br/>
              <w:t>(24.25)</w:t>
            </w:r>
          </w:p>
        </w:tc>
        <w:tc>
          <w:tcPr>
            <w:tcW w:w="1620" w:type="dxa"/>
            <w:noWrap/>
            <w:vAlign w:val="center"/>
            <w:hideMark/>
          </w:tcPr>
          <w:p w14:paraId="1DF3E3EB" w14:textId="77777777" w:rsidR="009271A4" w:rsidRPr="009271A4" w:rsidRDefault="009271A4" w:rsidP="009271A4">
            <w:pPr>
              <w:jc w:val="center"/>
              <w:rPr>
                <w:sz w:val="20"/>
                <w:szCs w:val="20"/>
              </w:rPr>
            </w:pPr>
            <w:r w:rsidRPr="009271A4">
              <w:rPr>
                <w:sz w:val="20"/>
                <w:szCs w:val="20"/>
              </w:rPr>
              <w:t>16%</w:t>
            </w:r>
          </w:p>
        </w:tc>
        <w:tc>
          <w:tcPr>
            <w:tcW w:w="1710" w:type="dxa"/>
            <w:noWrap/>
            <w:vAlign w:val="center"/>
            <w:hideMark/>
          </w:tcPr>
          <w:p w14:paraId="307B6478" w14:textId="77777777" w:rsidR="009271A4" w:rsidRPr="009271A4" w:rsidRDefault="009271A4" w:rsidP="009271A4">
            <w:pPr>
              <w:jc w:val="center"/>
              <w:rPr>
                <w:sz w:val="20"/>
                <w:szCs w:val="20"/>
              </w:rPr>
            </w:pPr>
            <w:r w:rsidRPr="009271A4">
              <w:rPr>
                <w:sz w:val="20"/>
                <w:szCs w:val="20"/>
              </w:rPr>
              <w:t>12%</w:t>
            </w:r>
          </w:p>
        </w:tc>
        <w:tc>
          <w:tcPr>
            <w:tcW w:w="1705" w:type="dxa"/>
            <w:noWrap/>
            <w:vAlign w:val="center"/>
            <w:hideMark/>
          </w:tcPr>
          <w:p w14:paraId="08CA2EFB" w14:textId="77777777" w:rsidR="009271A4" w:rsidRPr="009271A4" w:rsidRDefault="009271A4" w:rsidP="009271A4">
            <w:pPr>
              <w:jc w:val="center"/>
              <w:rPr>
                <w:sz w:val="20"/>
                <w:szCs w:val="20"/>
              </w:rPr>
            </w:pPr>
            <w:r w:rsidRPr="009271A4">
              <w:rPr>
                <w:sz w:val="20"/>
                <w:szCs w:val="20"/>
              </w:rPr>
              <w:t>12%</w:t>
            </w:r>
          </w:p>
        </w:tc>
      </w:tr>
      <w:tr w:rsidR="009271A4" w:rsidRPr="009271A4" w14:paraId="78D79702" w14:textId="77777777" w:rsidTr="009271A4">
        <w:trPr>
          <w:trHeight w:val="700"/>
          <w:jc w:val="center"/>
        </w:trPr>
        <w:tc>
          <w:tcPr>
            <w:tcW w:w="1435" w:type="dxa"/>
            <w:vMerge w:val="restart"/>
            <w:vAlign w:val="center"/>
            <w:hideMark/>
          </w:tcPr>
          <w:p w14:paraId="7251A3EF" w14:textId="77777777" w:rsidR="009271A4" w:rsidRPr="009271A4" w:rsidRDefault="009271A4" w:rsidP="009271A4">
            <w:pPr>
              <w:jc w:val="center"/>
              <w:rPr>
                <w:sz w:val="20"/>
                <w:szCs w:val="20"/>
              </w:rPr>
            </w:pPr>
            <w:r w:rsidRPr="009271A4">
              <w:rPr>
                <w:sz w:val="20"/>
                <w:szCs w:val="20"/>
              </w:rPr>
              <w:t>Nationalism</w:t>
            </w:r>
            <w:r w:rsidRPr="009271A4">
              <w:rPr>
                <w:sz w:val="20"/>
                <w:szCs w:val="20"/>
              </w:rPr>
              <w:br/>
              <w:t>(preference for local over foreign)</w:t>
            </w:r>
          </w:p>
        </w:tc>
        <w:tc>
          <w:tcPr>
            <w:tcW w:w="990" w:type="dxa"/>
            <w:noWrap/>
            <w:vAlign w:val="center"/>
            <w:hideMark/>
          </w:tcPr>
          <w:p w14:paraId="410AF1C6" w14:textId="77777777" w:rsidR="009271A4" w:rsidRPr="009271A4" w:rsidRDefault="009271A4" w:rsidP="009271A4">
            <w:pPr>
              <w:jc w:val="center"/>
              <w:rPr>
                <w:sz w:val="20"/>
                <w:szCs w:val="20"/>
              </w:rPr>
            </w:pPr>
            <w:r w:rsidRPr="009271A4">
              <w:rPr>
                <w:sz w:val="20"/>
                <w:szCs w:val="20"/>
              </w:rPr>
              <w:t>original</w:t>
            </w:r>
          </w:p>
        </w:tc>
        <w:tc>
          <w:tcPr>
            <w:tcW w:w="1890" w:type="dxa"/>
            <w:vAlign w:val="center"/>
            <w:hideMark/>
          </w:tcPr>
          <w:p w14:paraId="5BEA0CC6" w14:textId="77777777" w:rsidR="009271A4" w:rsidRPr="009271A4" w:rsidRDefault="009271A4" w:rsidP="009271A4">
            <w:pPr>
              <w:jc w:val="center"/>
              <w:rPr>
                <w:sz w:val="20"/>
                <w:szCs w:val="20"/>
              </w:rPr>
            </w:pPr>
            <w:r w:rsidRPr="009271A4">
              <w:rPr>
                <w:sz w:val="20"/>
                <w:szCs w:val="20"/>
              </w:rPr>
              <w:t>58.74</w:t>
            </w:r>
            <w:r w:rsidRPr="009271A4">
              <w:rPr>
                <w:sz w:val="20"/>
                <w:szCs w:val="20"/>
              </w:rPr>
              <w:br/>
              <w:t>(20.55)</w:t>
            </w:r>
          </w:p>
        </w:tc>
        <w:tc>
          <w:tcPr>
            <w:tcW w:w="1620" w:type="dxa"/>
            <w:noWrap/>
            <w:vAlign w:val="center"/>
            <w:hideMark/>
          </w:tcPr>
          <w:p w14:paraId="3CF8EB96" w14:textId="77777777" w:rsidR="009271A4" w:rsidRPr="009271A4" w:rsidRDefault="009271A4" w:rsidP="009271A4">
            <w:pPr>
              <w:jc w:val="center"/>
              <w:rPr>
                <w:sz w:val="20"/>
                <w:szCs w:val="20"/>
              </w:rPr>
            </w:pPr>
            <w:r w:rsidRPr="009271A4">
              <w:rPr>
                <w:sz w:val="20"/>
                <w:szCs w:val="20"/>
              </w:rPr>
              <w:t>28%</w:t>
            </w:r>
          </w:p>
        </w:tc>
        <w:tc>
          <w:tcPr>
            <w:tcW w:w="1710" w:type="dxa"/>
            <w:noWrap/>
            <w:vAlign w:val="center"/>
            <w:hideMark/>
          </w:tcPr>
          <w:p w14:paraId="3472A34C" w14:textId="77777777" w:rsidR="009271A4" w:rsidRPr="009271A4" w:rsidRDefault="009271A4" w:rsidP="009271A4">
            <w:pPr>
              <w:jc w:val="center"/>
              <w:rPr>
                <w:sz w:val="20"/>
                <w:szCs w:val="20"/>
              </w:rPr>
            </w:pPr>
            <w:r w:rsidRPr="009271A4">
              <w:rPr>
                <w:sz w:val="20"/>
                <w:szCs w:val="20"/>
              </w:rPr>
              <w:t>20%</w:t>
            </w:r>
          </w:p>
        </w:tc>
        <w:tc>
          <w:tcPr>
            <w:tcW w:w="1705" w:type="dxa"/>
            <w:noWrap/>
            <w:vAlign w:val="center"/>
            <w:hideMark/>
          </w:tcPr>
          <w:p w14:paraId="2CEF713A" w14:textId="77777777" w:rsidR="009271A4" w:rsidRPr="009271A4" w:rsidRDefault="009271A4" w:rsidP="009271A4">
            <w:pPr>
              <w:jc w:val="center"/>
              <w:rPr>
                <w:sz w:val="20"/>
                <w:szCs w:val="20"/>
              </w:rPr>
            </w:pPr>
            <w:r w:rsidRPr="009271A4">
              <w:rPr>
                <w:sz w:val="20"/>
                <w:szCs w:val="20"/>
              </w:rPr>
              <w:t>20%</w:t>
            </w:r>
          </w:p>
        </w:tc>
      </w:tr>
      <w:tr w:rsidR="009271A4" w:rsidRPr="009271A4" w14:paraId="11952382" w14:textId="77777777" w:rsidTr="009271A4">
        <w:trPr>
          <w:trHeight w:val="700"/>
          <w:jc w:val="center"/>
        </w:trPr>
        <w:tc>
          <w:tcPr>
            <w:tcW w:w="1435" w:type="dxa"/>
            <w:vMerge/>
            <w:vAlign w:val="center"/>
            <w:hideMark/>
          </w:tcPr>
          <w:p w14:paraId="01C918DF" w14:textId="77777777" w:rsidR="009271A4" w:rsidRPr="009271A4" w:rsidRDefault="009271A4" w:rsidP="009271A4">
            <w:pPr>
              <w:jc w:val="center"/>
              <w:rPr>
                <w:sz w:val="20"/>
                <w:szCs w:val="20"/>
              </w:rPr>
            </w:pPr>
          </w:p>
        </w:tc>
        <w:tc>
          <w:tcPr>
            <w:tcW w:w="990" w:type="dxa"/>
            <w:noWrap/>
            <w:vAlign w:val="center"/>
            <w:hideMark/>
          </w:tcPr>
          <w:p w14:paraId="1ACBE148" w14:textId="77777777" w:rsidR="009271A4" w:rsidRPr="009271A4" w:rsidRDefault="009271A4" w:rsidP="009271A4">
            <w:pPr>
              <w:jc w:val="center"/>
              <w:rPr>
                <w:sz w:val="20"/>
                <w:szCs w:val="20"/>
              </w:rPr>
            </w:pPr>
            <w:r w:rsidRPr="009271A4">
              <w:rPr>
                <w:sz w:val="20"/>
                <w:szCs w:val="20"/>
              </w:rPr>
              <w:t>reverse</w:t>
            </w:r>
          </w:p>
        </w:tc>
        <w:tc>
          <w:tcPr>
            <w:tcW w:w="1890" w:type="dxa"/>
            <w:vAlign w:val="center"/>
            <w:hideMark/>
          </w:tcPr>
          <w:p w14:paraId="1A8E3877" w14:textId="77777777" w:rsidR="009271A4" w:rsidRPr="009271A4" w:rsidRDefault="009271A4" w:rsidP="009271A4">
            <w:pPr>
              <w:jc w:val="center"/>
              <w:rPr>
                <w:sz w:val="20"/>
                <w:szCs w:val="20"/>
              </w:rPr>
            </w:pPr>
            <w:r w:rsidRPr="009271A4">
              <w:rPr>
                <w:sz w:val="20"/>
                <w:szCs w:val="20"/>
              </w:rPr>
              <w:t>57.76</w:t>
            </w:r>
            <w:r w:rsidRPr="009271A4">
              <w:rPr>
                <w:sz w:val="20"/>
                <w:szCs w:val="20"/>
              </w:rPr>
              <w:br/>
              <w:t>(23.42)</w:t>
            </w:r>
          </w:p>
        </w:tc>
        <w:tc>
          <w:tcPr>
            <w:tcW w:w="1620" w:type="dxa"/>
            <w:noWrap/>
            <w:vAlign w:val="center"/>
            <w:hideMark/>
          </w:tcPr>
          <w:p w14:paraId="5D18E546" w14:textId="77777777" w:rsidR="009271A4" w:rsidRPr="009271A4" w:rsidRDefault="009271A4" w:rsidP="009271A4">
            <w:pPr>
              <w:jc w:val="center"/>
              <w:rPr>
                <w:sz w:val="20"/>
                <w:szCs w:val="20"/>
              </w:rPr>
            </w:pPr>
            <w:r w:rsidRPr="009271A4">
              <w:rPr>
                <w:sz w:val="20"/>
                <w:szCs w:val="20"/>
              </w:rPr>
              <w:t>29%</w:t>
            </w:r>
          </w:p>
        </w:tc>
        <w:tc>
          <w:tcPr>
            <w:tcW w:w="1710" w:type="dxa"/>
            <w:noWrap/>
            <w:vAlign w:val="center"/>
            <w:hideMark/>
          </w:tcPr>
          <w:p w14:paraId="1F20A98A" w14:textId="77777777" w:rsidR="009271A4" w:rsidRPr="009271A4" w:rsidRDefault="009271A4" w:rsidP="009271A4">
            <w:pPr>
              <w:jc w:val="center"/>
              <w:rPr>
                <w:sz w:val="20"/>
                <w:szCs w:val="20"/>
              </w:rPr>
            </w:pPr>
            <w:r w:rsidRPr="009271A4">
              <w:rPr>
                <w:sz w:val="20"/>
                <w:szCs w:val="20"/>
              </w:rPr>
              <w:t>22%</w:t>
            </w:r>
          </w:p>
        </w:tc>
        <w:tc>
          <w:tcPr>
            <w:tcW w:w="1705" w:type="dxa"/>
            <w:noWrap/>
            <w:vAlign w:val="center"/>
            <w:hideMark/>
          </w:tcPr>
          <w:p w14:paraId="4314D751" w14:textId="77777777" w:rsidR="009271A4" w:rsidRPr="009271A4" w:rsidRDefault="009271A4" w:rsidP="009271A4">
            <w:pPr>
              <w:jc w:val="center"/>
              <w:rPr>
                <w:sz w:val="20"/>
                <w:szCs w:val="20"/>
              </w:rPr>
            </w:pPr>
            <w:r w:rsidRPr="009271A4">
              <w:rPr>
                <w:sz w:val="20"/>
                <w:szCs w:val="20"/>
              </w:rPr>
              <w:t>22%</w:t>
            </w:r>
          </w:p>
        </w:tc>
      </w:tr>
      <w:tr w:rsidR="009271A4" w:rsidRPr="009271A4" w14:paraId="4ED77973" w14:textId="77777777" w:rsidTr="009271A4">
        <w:trPr>
          <w:trHeight w:val="700"/>
          <w:jc w:val="center"/>
        </w:trPr>
        <w:tc>
          <w:tcPr>
            <w:tcW w:w="1435" w:type="dxa"/>
            <w:vMerge w:val="restart"/>
            <w:vAlign w:val="center"/>
            <w:hideMark/>
          </w:tcPr>
          <w:p w14:paraId="217FE6FA" w14:textId="77777777" w:rsidR="009271A4" w:rsidRPr="009271A4" w:rsidRDefault="009271A4" w:rsidP="009271A4">
            <w:pPr>
              <w:jc w:val="center"/>
              <w:rPr>
                <w:sz w:val="20"/>
                <w:szCs w:val="20"/>
              </w:rPr>
            </w:pPr>
            <w:r w:rsidRPr="009271A4">
              <w:rPr>
                <w:sz w:val="20"/>
                <w:szCs w:val="20"/>
              </w:rPr>
              <w:t>Overhead</w:t>
            </w:r>
            <w:r w:rsidRPr="009271A4">
              <w:rPr>
                <w:sz w:val="20"/>
                <w:szCs w:val="20"/>
              </w:rPr>
              <w:br/>
              <w:t>(preference for low over high)</w:t>
            </w:r>
          </w:p>
        </w:tc>
        <w:tc>
          <w:tcPr>
            <w:tcW w:w="990" w:type="dxa"/>
            <w:noWrap/>
            <w:vAlign w:val="center"/>
            <w:hideMark/>
          </w:tcPr>
          <w:p w14:paraId="42CCD9DD" w14:textId="77777777" w:rsidR="009271A4" w:rsidRPr="009271A4" w:rsidRDefault="009271A4" w:rsidP="009271A4">
            <w:pPr>
              <w:jc w:val="center"/>
              <w:rPr>
                <w:sz w:val="20"/>
                <w:szCs w:val="20"/>
              </w:rPr>
            </w:pPr>
            <w:r w:rsidRPr="009271A4">
              <w:rPr>
                <w:sz w:val="20"/>
                <w:szCs w:val="20"/>
              </w:rPr>
              <w:t>original</w:t>
            </w:r>
          </w:p>
        </w:tc>
        <w:tc>
          <w:tcPr>
            <w:tcW w:w="1890" w:type="dxa"/>
            <w:vAlign w:val="center"/>
            <w:hideMark/>
          </w:tcPr>
          <w:p w14:paraId="47CED358" w14:textId="77777777" w:rsidR="009271A4" w:rsidRPr="009271A4" w:rsidRDefault="009271A4" w:rsidP="009271A4">
            <w:pPr>
              <w:jc w:val="center"/>
              <w:rPr>
                <w:sz w:val="20"/>
                <w:szCs w:val="20"/>
              </w:rPr>
            </w:pPr>
            <w:r w:rsidRPr="009271A4">
              <w:rPr>
                <w:sz w:val="20"/>
                <w:szCs w:val="20"/>
              </w:rPr>
              <w:t>68.54</w:t>
            </w:r>
            <w:r w:rsidRPr="009271A4">
              <w:rPr>
                <w:sz w:val="20"/>
                <w:szCs w:val="20"/>
              </w:rPr>
              <w:br/>
              <w:t>(27.82)</w:t>
            </w:r>
          </w:p>
        </w:tc>
        <w:tc>
          <w:tcPr>
            <w:tcW w:w="1620" w:type="dxa"/>
            <w:noWrap/>
            <w:vAlign w:val="center"/>
            <w:hideMark/>
          </w:tcPr>
          <w:p w14:paraId="648EAB90" w14:textId="77777777" w:rsidR="009271A4" w:rsidRPr="009271A4" w:rsidRDefault="009271A4" w:rsidP="009271A4">
            <w:pPr>
              <w:jc w:val="center"/>
              <w:rPr>
                <w:sz w:val="20"/>
                <w:szCs w:val="20"/>
              </w:rPr>
            </w:pPr>
            <w:r w:rsidRPr="009271A4">
              <w:rPr>
                <w:sz w:val="20"/>
                <w:szCs w:val="20"/>
              </w:rPr>
              <w:t>62%</w:t>
            </w:r>
          </w:p>
        </w:tc>
        <w:tc>
          <w:tcPr>
            <w:tcW w:w="1710" w:type="dxa"/>
            <w:noWrap/>
            <w:vAlign w:val="center"/>
            <w:hideMark/>
          </w:tcPr>
          <w:p w14:paraId="50588FEC" w14:textId="77777777" w:rsidR="009271A4" w:rsidRPr="009271A4" w:rsidRDefault="009271A4" w:rsidP="009271A4">
            <w:pPr>
              <w:jc w:val="center"/>
              <w:rPr>
                <w:sz w:val="20"/>
                <w:szCs w:val="20"/>
              </w:rPr>
            </w:pPr>
            <w:r w:rsidRPr="009271A4">
              <w:rPr>
                <w:sz w:val="20"/>
                <w:szCs w:val="20"/>
              </w:rPr>
              <w:t>64%</w:t>
            </w:r>
          </w:p>
        </w:tc>
        <w:tc>
          <w:tcPr>
            <w:tcW w:w="1705" w:type="dxa"/>
            <w:noWrap/>
            <w:vAlign w:val="center"/>
            <w:hideMark/>
          </w:tcPr>
          <w:p w14:paraId="70963E0D" w14:textId="77777777" w:rsidR="009271A4" w:rsidRPr="009271A4" w:rsidRDefault="009271A4" w:rsidP="009271A4">
            <w:pPr>
              <w:jc w:val="center"/>
              <w:rPr>
                <w:sz w:val="20"/>
                <w:szCs w:val="20"/>
              </w:rPr>
            </w:pPr>
            <w:r w:rsidRPr="009271A4">
              <w:rPr>
                <w:sz w:val="20"/>
                <w:szCs w:val="20"/>
              </w:rPr>
              <w:t>55%</w:t>
            </w:r>
          </w:p>
        </w:tc>
      </w:tr>
      <w:tr w:rsidR="009271A4" w:rsidRPr="009271A4" w14:paraId="3F0576C5" w14:textId="77777777" w:rsidTr="009271A4">
        <w:trPr>
          <w:trHeight w:val="700"/>
          <w:jc w:val="center"/>
        </w:trPr>
        <w:tc>
          <w:tcPr>
            <w:tcW w:w="1435" w:type="dxa"/>
            <w:vMerge/>
            <w:vAlign w:val="center"/>
            <w:hideMark/>
          </w:tcPr>
          <w:p w14:paraId="3B5B0D04" w14:textId="77777777" w:rsidR="009271A4" w:rsidRPr="009271A4" w:rsidRDefault="009271A4" w:rsidP="009271A4">
            <w:pPr>
              <w:jc w:val="center"/>
              <w:rPr>
                <w:sz w:val="20"/>
                <w:szCs w:val="20"/>
              </w:rPr>
            </w:pPr>
          </w:p>
        </w:tc>
        <w:tc>
          <w:tcPr>
            <w:tcW w:w="990" w:type="dxa"/>
            <w:noWrap/>
            <w:vAlign w:val="center"/>
            <w:hideMark/>
          </w:tcPr>
          <w:p w14:paraId="2F0F1CEF" w14:textId="77777777" w:rsidR="009271A4" w:rsidRPr="009271A4" w:rsidRDefault="009271A4" w:rsidP="009271A4">
            <w:pPr>
              <w:jc w:val="center"/>
              <w:rPr>
                <w:sz w:val="20"/>
                <w:szCs w:val="20"/>
              </w:rPr>
            </w:pPr>
            <w:r w:rsidRPr="009271A4">
              <w:rPr>
                <w:sz w:val="20"/>
                <w:szCs w:val="20"/>
              </w:rPr>
              <w:t>reverse</w:t>
            </w:r>
          </w:p>
        </w:tc>
        <w:tc>
          <w:tcPr>
            <w:tcW w:w="1890" w:type="dxa"/>
            <w:vAlign w:val="center"/>
            <w:hideMark/>
          </w:tcPr>
          <w:p w14:paraId="71D5C56D" w14:textId="77777777" w:rsidR="009271A4" w:rsidRPr="009271A4" w:rsidRDefault="009271A4" w:rsidP="009271A4">
            <w:pPr>
              <w:jc w:val="center"/>
              <w:rPr>
                <w:sz w:val="20"/>
                <w:szCs w:val="20"/>
              </w:rPr>
            </w:pPr>
            <w:r w:rsidRPr="009271A4">
              <w:rPr>
                <w:sz w:val="20"/>
                <w:szCs w:val="20"/>
              </w:rPr>
              <w:t>73.1</w:t>
            </w:r>
            <w:r w:rsidRPr="009271A4">
              <w:rPr>
                <w:sz w:val="20"/>
                <w:szCs w:val="20"/>
              </w:rPr>
              <w:br/>
              <w:t>(25.96)</w:t>
            </w:r>
          </w:p>
        </w:tc>
        <w:tc>
          <w:tcPr>
            <w:tcW w:w="1620" w:type="dxa"/>
            <w:noWrap/>
            <w:vAlign w:val="center"/>
            <w:hideMark/>
          </w:tcPr>
          <w:p w14:paraId="3103E72D" w14:textId="77777777" w:rsidR="009271A4" w:rsidRPr="009271A4" w:rsidRDefault="009271A4" w:rsidP="009271A4">
            <w:pPr>
              <w:jc w:val="center"/>
              <w:rPr>
                <w:sz w:val="20"/>
                <w:szCs w:val="20"/>
              </w:rPr>
            </w:pPr>
            <w:r w:rsidRPr="009271A4">
              <w:rPr>
                <w:sz w:val="20"/>
                <w:szCs w:val="20"/>
              </w:rPr>
              <w:t>66%</w:t>
            </w:r>
          </w:p>
        </w:tc>
        <w:tc>
          <w:tcPr>
            <w:tcW w:w="1710" w:type="dxa"/>
            <w:noWrap/>
            <w:vAlign w:val="center"/>
            <w:hideMark/>
          </w:tcPr>
          <w:p w14:paraId="7DC8777F" w14:textId="77777777" w:rsidR="009271A4" w:rsidRPr="009271A4" w:rsidRDefault="009271A4" w:rsidP="009271A4">
            <w:pPr>
              <w:jc w:val="center"/>
              <w:rPr>
                <w:sz w:val="20"/>
                <w:szCs w:val="20"/>
              </w:rPr>
            </w:pPr>
            <w:r w:rsidRPr="009271A4">
              <w:rPr>
                <w:sz w:val="20"/>
                <w:szCs w:val="20"/>
              </w:rPr>
              <w:t>69%</w:t>
            </w:r>
          </w:p>
        </w:tc>
        <w:tc>
          <w:tcPr>
            <w:tcW w:w="1705" w:type="dxa"/>
            <w:noWrap/>
            <w:vAlign w:val="center"/>
            <w:hideMark/>
          </w:tcPr>
          <w:p w14:paraId="0E9D2E4A" w14:textId="77777777" w:rsidR="009271A4" w:rsidRPr="009271A4" w:rsidRDefault="009271A4" w:rsidP="009271A4">
            <w:pPr>
              <w:jc w:val="center"/>
              <w:rPr>
                <w:sz w:val="20"/>
                <w:szCs w:val="20"/>
              </w:rPr>
            </w:pPr>
            <w:r w:rsidRPr="009271A4">
              <w:rPr>
                <w:sz w:val="20"/>
                <w:szCs w:val="20"/>
              </w:rPr>
              <w:t>58%</w:t>
            </w:r>
          </w:p>
        </w:tc>
      </w:tr>
      <w:tr w:rsidR="009271A4" w:rsidRPr="009271A4" w14:paraId="1A29A2CC" w14:textId="77777777" w:rsidTr="009271A4">
        <w:trPr>
          <w:trHeight w:val="700"/>
          <w:jc w:val="center"/>
        </w:trPr>
        <w:tc>
          <w:tcPr>
            <w:tcW w:w="1435" w:type="dxa"/>
            <w:vMerge w:val="restart"/>
            <w:vAlign w:val="center"/>
            <w:hideMark/>
          </w:tcPr>
          <w:p w14:paraId="4FAA2BA6" w14:textId="77777777" w:rsidR="009271A4" w:rsidRPr="009271A4" w:rsidRDefault="009271A4" w:rsidP="009271A4">
            <w:pPr>
              <w:jc w:val="center"/>
              <w:rPr>
                <w:sz w:val="20"/>
                <w:szCs w:val="20"/>
              </w:rPr>
            </w:pPr>
            <w:r w:rsidRPr="009271A4">
              <w:rPr>
                <w:sz w:val="20"/>
                <w:szCs w:val="20"/>
              </w:rPr>
              <w:t>Average cost</w:t>
            </w:r>
            <w:r w:rsidRPr="009271A4">
              <w:rPr>
                <w:sz w:val="20"/>
                <w:szCs w:val="20"/>
              </w:rPr>
              <w:br/>
              <w:t>(preference for low over high)</w:t>
            </w:r>
          </w:p>
        </w:tc>
        <w:tc>
          <w:tcPr>
            <w:tcW w:w="990" w:type="dxa"/>
            <w:noWrap/>
            <w:vAlign w:val="center"/>
            <w:hideMark/>
          </w:tcPr>
          <w:p w14:paraId="4E594F1A" w14:textId="77777777" w:rsidR="009271A4" w:rsidRPr="009271A4" w:rsidRDefault="009271A4" w:rsidP="009271A4">
            <w:pPr>
              <w:jc w:val="center"/>
              <w:rPr>
                <w:sz w:val="20"/>
                <w:szCs w:val="20"/>
              </w:rPr>
            </w:pPr>
            <w:r w:rsidRPr="009271A4">
              <w:rPr>
                <w:sz w:val="20"/>
                <w:szCs w:val="20"/>
              </w:rPr>
              <w:t>original</w:t>
            </w:r>
          </w:p>
        </w:tc>
        <w:tc>
          <w:tcPr>
            <w:tcW w:w="1890" w:type="dxa"/>
            <w:vAlign w:val="center"/>
            <w:hideMark/>
          </w:tcPr>
          <w:p w14:paraId="533C8371" w14:textId="77777777" w:rsidR="009271A4" w:rsidRPr="009271A4" w:rsidRDefault="009271A4" w:rsidP="009271A4">
            <w:pPr>
              <w:jc w:val="center"/>
              <w:rPr>
                <w:sz w:val="20"/>
                <w:szCs w:val="20"/>
              </w:rPr>
            </w:pPr>
            <w:r w:rsidRPr="009271A4">
              <w:rPr>
                <w:sz w:val="20"/>
                <w:szCs w:val="20"/>
              </w:rPr>
              <w:t>56.28</w:t>
            </w:r>
            <w:r w:rsidRPr="009271A4">
              <w:rPr>
                <w:sz w:val="20"/>
                <w:szCs w:val="20"/>
              </w:rPr>
              <w:br/>
              <w:t>(25.67)</w:t>
            </w:r>
          </w:p>
        </w:tc>
        <w:tc>
          <w:tcPr>
            <w:tcW w:w="1620" w:type="dxa"/>
            <w:noWrap/>
            <w:vAlign w:val="center"/>
            <w:hideMark/>
          </w:tcPr>
          <w:p w14:paraId="538B6E93" w14:textId="77777777" w:rsidR="009271A4" w:rsidRPr="009271A4" w:rsidRDefault="009271A4" w:rsidP="009271A4">
            <w:pPr>
              <w:jc w:val="center"/>
              <w:rPr>
                <w:sz w:val="20"/>
                <w:szCs w:val="20"/>
              </w:rPr>
            </w:pPr>
            <w:r w:rsidRPr="009271A4">
              <w:rPr>
                <w:sz w:val="20"/>
                <w:szCs w:val="20"/>
              </w:rPr>
              <w:t>35%</w:t>
            </w:r>
          </w:p>
        </w:tc>
        <w:tc>
          <w:tcPr>
            <w:tcW w:w="1710" w:type="dxa"/>
            <w:noWrap/>
            <w:vAlign w:val="center"/>
            <w:hideMark/>
          </w:tcPr>
          <w:p w14:paraId="271DE627" w14:textId="77777777" w:rsidR="009271A4" w:rsidRPr="009271A4" w:rsidRDefault="009271A4" w:rsidP="009271A4">
            <w:pPr>
              <w:jc w:val="center"/>
              <w:rPr>
                <w:sz w:val="20"/>
                <w:szCs w:val="20"/>
              </w:rPr>
            </w:pPr>
            <w:r w:rsidRPr="009271A4">
              <w:rPr>
                <w:sz w:val="20"/>
                <w:szCs w:val="20"/>
              </w:rPr>
              <w:t>38%</w:t>
            </w:r>
          </w:p>
        </w:tc>
        <w:tc>
          <w:tcPr>
            <w:tcW w:w="1705" w:type="dxa"/>
            <w:noWrap/>
            <w:vAlign w:val="center"/>
            <w:hideMark/>
          </w:tcPr>
          <w:p w14:paraId="41133D76" w14:textId="77777777" w:rsidR="009271A4" w:rsidRPr="009271A4" w:rsidRDefault="009271A4" w:rsidP="009271A4">
            <w:pPr>
              <w:jc w:val="center"/>
              <w:rPr>
                <w:sz w:val="20"/>
                <w:szCs w:val="20"/>
              </w:rPr>
            </w:pPr>
            <w:r w:rsidRPr="009271A4">
              <w:rPr>
                <w:sz w:val="20"/>
                <w:szCs w:val="20"/>
              </w:rPr>
              <w:t>29%</w:t>
            </w:r>
          </w:p>
        </w:tc>
      </w:tr>
      <w:tr w:rsidR="009271A4" w:rsidRPr="009271A4" w14:paraId="5B83308E" w14:textId="77777777" w:rsidTr="009271A4">
        <w:trPr>
          <w:trHeight w:val="700"/>
          <w:jc w:val="center"/>
        </w:trPr>
        <w:tc>
          <w:tcPr>
            <w:tcW w:w="1435" w:type="dxa"/>
            <w:vMerge/>
            <w:vAlign w:val="center"/>
            <w:hideMark/>
          </w:tcPr>
          <w:p w14:paraId="4A573829" w14:textId="77777777" w:rsidR="009271A4" w:rsidRPr="009271A4" w:rsidRDefault="009271A4" w:rsidP="009271A4">
            <w:pPr>
              <w:jc w:val="center"/>
              <w:rPr>
                <w:sz w:val="20"/>
                <w:szCs w:val="20"/>
              </w:rPr>
            </w:pPr>
          </w:p>
        </w:tc>
        <w:tc>
          <w:tcPr>
            <w:tcW w:w="990" w:type="dxa"/>
            <w:noWrap/>
            <w:vAlign w:val="center"/>
            <w:hideMark/>
          </w:tcPr>
          <w:p w14:paraId="0F1264C0" w14:textId="77777777" w:rsidR="009271A4" w:rsidRPr="009271A4" w:rsidRDefault="009271A4" w:rsidP="009271A4">
            <w:pPr>
              <w:jc w:val="center"/>
              <w:rPr>
                <w:sz w:val="20"/>
                <w:szCs w:val="20"/>
              </w:rPr>
            </w:pPr>
            <w:r w:rsidRPr="009271A4">
              <w:rPr>
                <w:sz w:val="20"/>
                <w:szCs w:val="20"/>
              </w:rPr>
              <w:t>reverse</w:t>
            </w:r>
          </w:p>
        </w:tc>
        <w:tc>
          <w:tcPr>
            <w:tcW w:w="1890" w:type="dxa"/>
            <w:vAlign w:val="center"/>
            <w:hideMark/>
          </w:tcPr>
          <w:p w14:paraId="4FAFC3C9" w14:textId="77777777" w:rsidR="009271A4" w:rsidRPr="009271A4" w:rsidRDefault="009271A4" w:rsidP="009271A4">
            <w:pPr>
              <w:jc w:val="center"/>
              <w:rPr>
                <w:sz w:val="20"/>
                <w:szCs w:val="20"/>
              </w:rPr>
            </w:pPr>
            <w:r w:rsidRPr="009271A4">
              <w:rPr>
                <w:sz w:val="20"/>
                <w:szCs w:val="20"/>
              </w:rPr>
              <w:t>60.95</w:t>
            </w:r>
            <w:r w:rsidRPr="009271A4">
              <w:rPr>
                <w:sz w:val="20"/>
                <w:szCs w:val="20"/>
              </w:rPr>
              <w:br/>
              <w:t>(25.41)</w:t>
            </w:r>
          </w:p>
        </w:tc>
        <w:tc>
          <w:tcPr>
            <w:tcW w:w="1620" w:type="dxa"/>
            <w:noWrap/>
            <w:vAlign w:val="center"/>
            <w:hideMark/>
          </w:tcPr>
          <w:p w14:paraId="24F6CC0A" w14:textId="77777777" w:rsidR="009271A4" w:rsidRPr="009271A4" w:rsidRDefault="009271A4" w:rsidP="009271A4">
            <w:pPr>
              <w:jc w:val="center"/>
              <w:rPr>
                <w:sz w:val="20"/>
                <w:szCs w:val="20"/>
              </w:rPr>
            </w:pPr>
            <w:r w:rsidRPr="009271A4">
              <w:rPr>
                <w:sz w:val="20"/>
                <w:szCs w:val="20"/>
              </w:rPr>
              <w:t>41%</w:t>
            </w:r>
          </w:p>
        </w:tc>
        <w:tc>
          <w:tcPr>
            <w:tcW w:w="1710" w:type="dxa"/>
            <w:noWrap/>
            <w:vAlign w:val="center"/>
            <w:hideMark/>
          </w:tcPr>
          <w:p w14:paraId="2AFE6331" w14:textId="77777777" w:rsidR="009271A4" w:rsidRPr="009271A4" w:rsidRDefault="009271A4" w:rsidP="009271A4">
            <w:pPr>
              <w:jc w:val="center"/>
              <w:rPr>
                <w:sz w:val="20"/>
                <w:szCs w:val="20"/>
              </w:rPr>
            </w:pPr>
            <w:r w:rsidRPr="009271A4">
              <w:rPr>
                <w:sz w:val="20"/>
                <w:szCs w:val="20"/>
              </w:rPr>
              <w:t>43%</w:t>
            </w:r>
          </w:p>
        </w:tc>
        <w:tc>
          <w:tcPr>
            <w:tcW w:w="1705" w:type="dxa"/>
            <w:noWrap/>
            <w:vAlign w:val="center"/>
            <w:hideMark/>
          </w:tcPr>
          <w:p w14:paraId="7C30142E" w14:textId="77777777" w:rsidR="009271A4" w:rsidRPr="009271A4" w:rsidRDefault="009271A4" w:rsidP="009271A4">
            <w:pPr>
              <w:jc w:val="center"/>
              <w:rPr>
                <w:sz w:val="20"/>
                <w:szCs w:val="20"/>
              </w:rPr>
            </w:pPr>
            <w:r w:rsidRPr="009271A4">
              <w:rPr>
                <w:sz w:val="20"/>
                <w:szCs w:val="20"/>
              </w:rPr>
              <w:t>36%</w:t>
            </w:r>
          </w:p>
        </w:tc>
      </w:tr>
    </w:tbl>
    <w:p w14:paraId="60D047E4" w14:textId="77777777" w:rsidR="0060386C" w:rsidRDefault="0060386C" w:rsidP="0060386C"/>
    <w:p w14:paraId="39D7E242" w14:textId="77777777" w:rsidR="00AA6403" w:rsidRDefault="00AA6403" w:rsidP="00AA6403"/>
    <w:p w14:paraId="571DA77C" w14:textId="77777777" w:rsidR="00AA6403" w:rsidRDefault="00AA6403" w:rsidP="00AA6403"/>
    <w:p w14:paraId="3E864F60" w14:textId="77777777" w:rsidR="003645E1" w:rsidRDefault="003645E1" w:rsidP="003645E1"/>
    <w:p w14:paraId="0B7753A8" w14:textId="77777777" w:rsidR="003645E1" w:rsidRPr="008C363C" w:rsidRDefault="003645E1" w:rsidP="003645E1"/>
    <w:sectPr w:rsidR="003645E1" w:rsidRPr="008C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1F0"/>
    <w:multiLevelType w:val="hybridMultilevel"/>
    <w:tmpl w:val="C52CA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0647C"/>
    <w:multiLevelType w:val="hybridMultilevel"/>
    <w:tmpl w:val="E7CE6012"/>
    <w:lvl w:ilvl="0" w:tplc="31B696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A03C4"/>
    <w:multiLevelType w:val="hybridMultilevel"/>
    <w:tmpl w:val="EA067F16"/>
    <w:lvl w:ilvl="0" w:tplc="EB64F8EA">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AC22B85"/>
    <w:multiLevelType w:val="multilevel"/>
    <w:tmpl w:val="78E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01BE4"/>
    <w:multiLevelType w:val="hybridMultilevel"/>
    <w:tmpl w:val="4CDC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B3DC6"/>
    <w:multiLevelType w:val="hybridMultilevel"/>
    <w:tmpl w:val="3280D072"/>
    <w:lvl w:ilvl="0" w:tplc="04090001">
      <w:start w:val="1"/>
      <w:numFmt w:val="bullet"/>
      <w:lvlText w:val=""/>
      <w:lvlJc w:val="left"/>
      <w:pPr>
        <w:ind w:left="720" w:hanging="360"/>
      </w:pPr>
      <w:rPr>
        <w:rFonts w:ascii="Symbol" w:hAnsi="Symbol" w:hint="default"/>
      </w:rPr>
    </w:lvl>
    <w:lvl w:ilvl="1" w:tplc="31B696DE">
      <w:start w:val="1"/>
      <w:numFmt w:val="decimal"/>
      <w:lvlText w:val="%2."/>
      <w:lvlJc w:val="left"/>
      <w:pPr>
        <w:ind w:left="720" w:hanging="360"/>
      </w:pPr>
      <w:rPr>
        <w:rFonts w:hint="default"/>
        <w:b/>
        <w:bC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A266E"/>
    <w:multiLevelType w:val="hybridMultilevel"/>
    <w:tmpl w:val="12582E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7310392">
    <w:abstractNumId w:val="3"/>
  </w:num>
  <w:num w:numId="2" w16cid:durableId="1727215097">
    <w:abstractNumId w:val="1"/>
  </w:num>
  <w:num w:numId="3" w16cid:durableId="1582791423">
    <w:abstractNumId w:val="4"/>
  </w:num>
  <w:num w:numId="4" w16cid:durableId="464198760">
    <w:abstractNumId w:val="5"/>
  </w:num>
  <w:num w:numId="5" w16cid:durableId="399181172">
    <w:abstractNumId w:val="2"/>
  </w:num>
  <w:num w:numId="6" w16cid:durableId="501434132">
    <w:abstractNumId w:val="6"/>
  </w:num>
  <w:num w:numId="7" w16cid:durableId="84385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63"/>
    <w:rsid w:val="00002B68"/>
    <w:rsid w:val="000038C9"/>
    <w:rsid w:val="00017C0C"/>
    <w:rsid w:val="0003010D"/>
    <w:rsid w:val="000325CE"/>
    <w:rsid w:val="000373A2"/>
    <w:rsid w:val="000475CA"/>
    <w:rsid w:val="0005027A"/>
    <w:rsid w:val="00055A2D"/>
    <w:rsid w:val="000572D7"/>
    <w:rsid w:val="00082509"/>
    <w:rsid w:val="0009715A"/>
    <w:rsid w:val="000B280E"/>
    <w:rsid w:val="000B54D9"/>
    <w:rsid w:val="000B5665"/>
    <w:rsid w:val="000F648C"/>
    <w:rsid w:val="000F7039"/>
    <w:rsid w:val="00104B0F"/>
    <w:rsid w:val="00153042"/>
    <w:rsid w:val="0015510B"/>
    <w:rsid w:val="001562E2"/>
    <w:rsid w:val="00160795"/>
    <w:rsid w:val="00166C15"/>
    <w:rsid w:val="001737FD"/>
    <w:rsid w:val="001752C6"/>
    <w:rsid w:val="00191DF3"/>
    <w:rsid w:val="001A16ED"/>
    <w:rsid w:val="001A7145"/>
    <w:rsid w:val="001A7BB6"/>
    <w:rsid w:val="001B614A"/>
    <w:rsid w:val="001C1F84"/>
    <w:rsid w:val="001C3474"/>
    <w:rsid w:val="001C37C5"/>
    <w:rsid w:val="001C3A7B"/>
    <w:rsid w:val="001E0290"/>
    <w:rsid w:val="001E2C78"/>
    <w:rsid w:val="001F4125"/>
    <w:rsid w:val="001F722B"/>
    <w:rsid w:val="00222ED5"/>
    <w:rsid w:val="002244B2"/>
    <w:rsid w:val="002250AB"/>
    <w:rsid w:val="002361D7"/>
    <w:rsid w:val="00240120"/>
    <w:rsid w:val="00240807"/>
    <w:rsid w:val="002431A0"/>
    <w:rsid w:val="002543E0"/>
    <w:rsid w:val="00255E0B"/>
    <w:rsid w:val="00265870"/>
    <w:rsid w:val="002717FD"/>
    <w:rsid w:val="00276F1E"/>
    <w:rsid w:val="0028231E"/>
    <w:rsid w:val="00282747"/>
    <w:rsid w:val="00287F36"/>
    <w:rsid w:val="002979AB"/>
    <w:rsid w:val="002A5462"/>
    <w:rsid w:val="002A7F3E"/>
    <w:rsid w:val="002B310C"/>
    <w:rsid w:val="002B50E0"/>
    <w:rsid w:val="002B7031"/>
    <w:rsid w:val="002C4475"/>
    <w:rsid w:val="002D105F"/>
    <w:rsid w:val="002D30A5"/>
    <w:rsid w:val="002D6B78"/>
    <w:rsid w:val="002F053D"/>
    <w:rsid w:val="0030478B"/>
    <w:rsid w:val="003071C0"/>
    <w:rsid w:val="00317AEE"/>
    <w:rsid w:val="0032494C"/>
    <w:rsid w:val="00335C26"/>
    <w:rsid w:val="003645E1"/>
    <w:rsid w:val="00373C0B"/>
    <w:rsid w:val="0039763E"/>
    <w:rsid w:val="003A4041"/>
    <w:rsid w:val="003A6A9B"/>
    <w:rsid w:val="003B05DC"/>
    <w:rsid w:val="003B2580"/>
    <w:rsid w:val="003B38C2"/>
    <w:rsid w:val="003B3F11"/>
    <w:rsid w:val="003B7AA0"/>
    <w:rsid w:val="003C0D39"/>
    <w:rsid w:val="003E161E"/>
    <w:rsid w:val="003E4E1D"/>
    <w:rsid w:val="003F1417"/>
    <w:rsid w:val="003F1BC5"/>
    <w:rsid w:val="003F6F68"/>
    <w:rsid w:val="004122F6"/>
    <w:rsid w:val="00424F66"/>
    <w:rsid w:val="00432A91"/>
    <w:rsid w:val="00436B21"/>
    <w:rsid w:val="00441857"/>
    <w:rsid w:val="00447C97"/>
    <w:rsid w:val="00463E0E"/>
    <w:rsid w:val="0046679D"/>
    <w:rsid w:val="00466874"/>
    <w:rsid w:val="0048624D"/>
    <w:rsid w:val="004C24B3"/>
    <w:rsid w:val="004C26CE"/>
    <w:rsid w:val="004C66D5"/>
    <w:rsid w:val="004D0AD0"/>
    <w:rsid w:val="004D30DB"/>
    <w:rsid w:val="004D3794"/>
    <w:rsid w:val="004D568E"/>
    <w:rsid w:val="004E105D"/>
    <w:rsid w:val="004F4B68"/>
    <w:rsid w:val="005203A0"/>
    <w:rsid w:val="00524718"/>
    <w:rsid w:val="00564DA3"/>
    <w:rsid w:val="00567EF8"/>
    <w:rsid w:val="0057082B"/>
    <w:rsid w:val="00583FBD"/>
    <w:rsid w:val="00585EBE"/>
    <w:rsid w:val="005862F0"/>
    <w:rsid w:val="00592EED"/>
    <w:rsid w:val="005A0745"/>
    <w:rsid w:val="005B5CFC"/>
    <w:rsid w:val="005C435F"/>
    <w:rsid w:val="005D23B2"/>
    <w:rsid w:val="0060386C"/>
    <w:rsid w:val="00623510"/>
    <w:rsid w:val="00636FBC"/>
    <w:rsid w:val="00643A0D"/>
    <w:rsid w:val="00651811"/>
    <w:rsid w:val="006518D9"/>
    <w:rsid w:val="00657C5B"/>
    <w:rsid w:val="00660ECD"/>
    <w:rsid w:val="0066430F"/>
    <w:rsid w:val="0066793B"/>
    <w:rsid w:val="006814B4"/>
    <w:rsid w:val="00682902"/>
    <w:rsid w:val="0069019F"/>
    <w:rsid w:val="006929E2"/>
    <w:rsid w:val="006A08E0"/>
    <w:rsid w:val="006A657F"/>
    <w:rsid w:val="006B1023"/>
    <w:rsid w:val="006B1EF7"/>
    <w:rsid w:val="006B6C6E"/>
    <w:rsid w:val="006B780E"/>
    <w:rsid w:val="006C6C33"/>
    <w:rsid w:val="006C6D4D"/>
    <w:rsid w:val="006C7211"/>
    <w:rsid w:val="006C7AEC"/>
    <w:rsid w:val="006D0124"/>
    <w:rsid w:val="006D4463"/>
    <w:rsid w:val="006D79CF"/>
    <w:rsid w:val="006E02A3"/>
    <w:rsid w:val="006E27C2"/>
    <w:rsid w:val="006F2397"/>
    <w:rsid w:val="006F5B76"/>
    <w:rsid w:val="00700754"/>
    <w:rsid w:val="00705D5B"/>
    <w:rsid w:val="007128E2"/>
    <w:rsid w:val="00712F7A"/>
    <w:rsid w:val="007143A7"/>
    <w:rsid w:val="00715E55"/>
    <w:rsid w:val="00724E2D"/>
    <w:rsid w:val="00735D66"/>
    <w:rsid w:val="00750A7E"/>
    <w:rsid w:val="0075127A"/>
    <w:rsid w:val="00755D5D"/>
    <w:rsid w:val="00760522"/>
    <w:rsid w:val="00770018"/>
    <w:rsid w:val="00774881"/>
    <w:rsid w:val="0078300C"/>
    <w:rsid w:val="0078743D"/>
    <w:rsid w:val="00790912"/>
    <w:rsid w:val="0079735F"/>
    <w:rsid w:val="007A0FCA"/>
    <w:rsid w:val="007B7A1E"/>
    <w:rsid w:val="007C0AEC"/>
    <w:rsid w:val="007C79C6"/>
    <w:rsid w:val="007D215F"/>
    <w:rsid w:val="007E6A66"/>
    <w:rsid w:val="00804768"/>
    <w:rsid w:val="00804D09"/>
    <w:rsid w:val="0081303A"/>
    <w:rsid w:val="00821BDA"/>
    <w:rsid w:val="00822128"/>
    <w:rsid w:val="0085444F"/>
    <w:rsid w:val="008545E7"/>
    <w:rsid w:val="00864044"/>
    <w:rsid w:val="0088190B"/>
    <w:rsid w:val="00882688"/>
    <w:rsid w:val="008869D8"/>
    <w:rsid w:val="00887D10"/>
    <w:rsid w:val="00892C90"/>
    <w:rsid w:val="008A3A78"/>
    <w:rsid w:val="008A4260"/>
    <w:rsid w:val="008C363C"/>
    <w:rsid w:val="008D0D95"/>
    <w:rsid w:val="008F10E9"/>
    <w:rsid w:val="00900BAE"/>
    <w:rsid w:val="009022F5"/>
    <w:rsid w:val="00902F1E"/>
    <w:rsid w:val="009064DD"/>
    <w:rsid w:val="009123E9"/>
    <w:rsid w:val="00913633"/>
    <w:rsid w:val="009147C7"/>
    <w:rsid w:val="00915516"/>
    <w:rsid w:val="009158F0"/>
    <w:rsid w:val="00917B08"/>
    <w:rsid w:val="00920E3E"/>
    <w:rsid w:val="009271A4"/>
    <w:rsid w:val="009278D7"/>
    <w:rsid w:val="009410AE"/>
    <w:rsid w:val="00954533"/>
    <w:rsid w:val="00954D2C"/>
    <w:rsid w:val="0096250F"/>
    <w:rsid w:val="009632F4"/>
    <w:rsid w:val="009910CD"/>
    <w:rsid w:val="0099219B"/>
    <w:rsid w:val="009A2F28"/>
    <w:rsid w:val="009B3019"/>
    <w:rsid w:val="009B76D9"/>
    <w:rsid w:val="009C4251"/>
    <w:rsid w:val="009D4238"/>
    <w:rsid w:val="009F250B"/>
    <w:rsid w:val="009F4B1D"/>
    <w:rsid w:val="009F6A21"/>
    <w:rsid w:val="00A06D68"/>
    <w:rsid w:val="00A26B61"/>
    <w:rsid w:val="00A27769"/>
    <w:rsid w:val="00A31756"/>
    <w:rsid w:val="00A46623"/>
    <w:rsid w:val="00A6339E"/>
    <w:rsid w:val="00A663C3"/>
    <w:rsid w:val="00A8255C"/>
    <w:rsid w:val="00A83D88"/>
    <w:rsid w:val="00A94979"/>
    <w:rsid w:val="00AA6403"/>
    <w:rsid w:val="00AB0099"/>
    <w:rsid w:val="00AC706A"/>
    <w:rsid w:val="00AD5224"/>
    <w:rsid w:val="00AD62A7"/>
    <w:rsid w:val="00AE22AB"/>
    <w:rsid w:val="00AE465B"/>
    <w:rsid w:val="00AF1317"/>
    <w:rsid w:val="00B170F4"/>
    <w:rsid w:val="00B375BC"/>
    <w:rsid w:val="00B45B51"/>
    <w:rsid w:val="00B46B1C"/>
    <w:rsid w:val="00B50B22"/>
    <w:rsid w:val="00B51473"/>
    <w:rsid w:val="00B51910"/>
    <w:rsid w:val="00B51D72"/>
    <w:rsid w:val="00B54EBF"/>
    <w:rsid w:val="00B54FCD"/>
    <w:rsid w:val="00B60A76"/>
    <w:rsid w:val="00B63F14"/>
    <w:rsid w:val="00BA1685"/>
    <w:rsid w:val="00BA3CBA"/>
    <w:rsid w:val="00BA474A"/>
    <w:rsid w:val="00BD0A64"/>
    <w:rsid w:val="00BD2A9A"/>
    <w:rsid w:val="00BD7552"/>
    <w:rsid w:val="00BE5E71"/>
    <w:rsid w:val="00BF0D8B"/>
    <w:rsid w:val="00BF2830"/>
    <w:rsid w:val="00BF451D"/>
    <w:rsid w:val="00C02273"/>
    <w:rsid w:val="00C51920"/>
    <w:rsid w:val="00C56DCE"/>
    <w:rsid w:val="00C60A09"/>
    <w:rsid w:val="00C62F16"/>
    <w:rsid w:val="00C6585F"/>
    <w:rsid w:val="00C71FDD"/>
    <w:rsid w:val="00C74E73"/>
    <w:rsid w:val="00C74EDB"/>
    <w:rsid w:val="00C81A2F"/>
    <w:rsid w:val="00C949BB"/>
    <w:rsid w:val="00CA07C2"/>
    <w:rsid w:val="00CC1C0D"/>
    <w:rsid w:val="00CD75B7"/>
    <w:rsid w:val="00CF0623"/>
    <w:rsid w:val="00CF283E"/>
    <w:rsid w:val="00CF3D84"/>
    <w:rsid w:val="00CF49D6"/>
    <w:rsid w:val="00CF5F2A"/>
    <w:rsid w:val="00D05FCC"/>
    <w:rsid w:val="00D10267"/>
    <w:rsid w:val="00D11E44"/>
    <w:rsid w:val="00D271F8"/>
    <w:rsid w:val="00D35C86"/>
    <w:rsid w:val="00D36D31"/>
    <w:rsid w:val="00D4043D"/>
    <w:rsid w:val="00D5243C"/>
    <w:rsid w:val="00D61587"/>
    <w:rsid w:val="00D8515B"/>
    <w:rsid w:val="00D90849"/>
    <w:rsid w:val="00D97352"/>
    <w:rsid w:val="00DA1C20"/>
    <w:rsid w:val="00DA3866"/>
    <w:rsid w:val="00DD159F"/>
    <w:rsid w:val="00DD26ED"/>
    <w:rsid w:val="00DD6B00"/>
    <w:rsid w:val="00DE6BAB"/>
    <w:rsid w:val="00DF002E"/>
    <w:rsid w:val="00DF1BC9"/>
    <w:rsid w:val="00E02469"/>
    <w:rsid w:val="00E02C42"/>
    <w:rsid w:val="00E149FB"/>
    <w:rsid w:val="00E1712D"/>
    <w:rsid w:val="00E3112D"/>
    <w:rsid w:val="00E428A6"/>
    <w:rsid w:val="00E50A44"/>
    <w:rsid w:val="00E71989"/>
    <w:rsid w:val="00E76F07"/>
    <w:rsid w:val="00E875F8"/>
    <w:rsid w:val="00E92A79"/>
    <w:rsid w:val="00E96962"/>
    <w:rsid w:val="00EA45FE"/>
    <w:rsid w:val="00EB5224"/>
    <w:rsid w:val="00EC19C7"/>
    <w:rsid w:val="00EC1AB8"/>
    <w:rsid w:val="00ED0176"/>
    <w:rsid w:val="00ED1AEF"/>
    <w:rsid w:val="00ED6631"/>
    <w:rsid w:val="00EE6046"/>
    <w:rsid w:val="00F07577"/>
    <w:rsid w:val="00F21732"/>
    <w:rsid w:val="00F3689B"/>
    <w:rsid w:val="00F4353D"/>
    <w:rsid w:val="00F51238"/>
    <w:rsid w:val="00F71C1A"/>
    <w:rsid w:val="00F80297"/>
    <w:rsid w:val="00F90523"/>
    <w:rsid w:val="00F919B8"/>
    <w:rsid w:val="00F945F1"/>
    <w:rsid w:val="00F9669C"/>
    <w:rsid w:val="00FA7BD6"/>
    <w:rsid w:val="00FC0931"/>
    <w:rsid w:val="00FC2848"/>
    <w:rsid w:val="00FC3B9A"/>
    <w:rsid w:val="00FE033F"/>
    <w:rsid w:val="00FE309B"/>
    <w:rsid w:val="00FF3564"/>
    <w:rsid w:val="00FF5F7F"/>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2E139"/>
  <w15:chartTrackingRefBased/>
  <w15:docId w15:val="{6BB64419-40AF-F64B-8767-49D699BA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428A6"/>
    <w:pPr>
      <w:spacing w:before="120"/>
    </w:pPr>
    <w:rPr>
      <w:rFonts w:cstheme="minorHAnsi"/>
      <w:b/>
      <w:bCs/>
      <w:i/>
      <w:iCs/>
    </w:rPr>
  </w:style>
  <w:style w:type="character" w:styleId="Hyperlink">
    <w:name w:val="Hyperlink"/>
    <w:basedOn w:val="DefaultParagraphFont"/>
    <w:uiPriority w:val="99"/>
    <w:unhideWhenUsed/>
    <w:rsid w:val="008C363C"/>
    <w:rPr>
      <w:color w:val="0563C1" w:themeColor="hyperlink"/>
      <w:u w:val="single"/>
    </w:rPr>
  </w:style>
  <w:style w:type="character" w:styleId="UnresolvedMention">
    <w:name w:val="Unresolved Mention"/>
    <w:basedOn w:val="DefaultParagraphFont"/>
    <w:uiPriority w:val="99"/>
    <w:semiHidden/>
    <w:unhideWhenUsed/>
    <w:rsid w:val="008C363C"/>
    <w:rPr>
      <w:color w:val="605E5C"/>
      <w:shd w:val="clear" w:color="auto" w:fill="E1DFDD"/>
    </w:rPr>
  </w:style>
  <w:style w:type="paragraph" w:styleId="ListParagraph">
    <w:name w:val="List Paragraph"/>
    <w:basedOn w:val="Normal"/>
    <w:uiPriority w:val="34"/>
    <w:qFormat/>
    <w:rsid w:val="00585EBE"/>
    <w:pPr>
      <w:ind w:left="720"/>
      <w:contextualSpacing/>
    </w:pPr>
  </w:style>
  <w:style w:type="table" w:styleId="TableGrid">
    <w:name w:val="Table Grid"/>
    <w:basedOn w:val="TableNormal"/>
    <w:uiPriority w:val="39"/>
    <w:rsid w:val="0092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6064">
      <w:bodyDiv w:val="1"/>
      <w:marLeft w:val="0"/>
      <w:marRight w:val="0"/>
      <w:marTop w:val="0"/>
      <w:marBottom w:val="0"/>
      <w:divBdr>
        <w:top w:val="none" w:sz="0" w:space="0" w:color="auto"/>
        <w:left w:val="none" w:sz="0" w:space="0" w:color="auto"/>
        <w:bottom w:val="none" w:sz="0" w:space="0" w:color="auto"/>
        <w:right w:val="none" w:sz="0" w:space="0" w:color="auto"/>
      </w:divBdr>
    </w:div>
    <w:div w:id="1090080698">
      <w:bodyDiv w:val="1"/>
      <w:marLeft w:val="0"/>
      <w:marRight w:val="0"/>
      <w:marTop w:val="0"/>
      <w:marBottom w:val="0"/>
      <w:divBdr>
        <w:top w:val="none" w:sz="0" w:space="0" w:color="auto"/>
        <w:left w:val="none" w:sz="0" w:space="0" w:color="auto"/>
        <w:bottom w:val="none" w:sz="0" w:space="0" w:color="auto"/>
        <w:right w:val="none" w:sz="0" w:space="0" w:color="auto"/>
      </w:divBdr>
    </w:div>
    <w:div w:id="1431121279">
      <w:bodyDiv w:val="1"/>
      <w:marLeft w:val="0"/>
      <w:marRight w:val="0"/>
      <w:marTop w:val="0"/>
      <w:marBottom w:val="0"/>
      <w:divBdr>
        <w:top w:val="none" w:sz="0" w:space="0" w:color="auto"/>
        <w:left w:val="none" w:sz="0" w:space="0" w:color="auto"/>
        <w:bottom w:val="none" w:sz="0" w:space="0" w:color="auto"/>
        <w:right w:val="none" w:sz="0" w:space="0" w:color="auto"/>
      </w:divBdr>
    </w:div>
    <w:div w:id="2052996054">
      <w:bodyDiv w:val="1"/>
      <w:marLeft w:val="0"/>
      <w:marRight w:val="0"/>
      <w:marTop w:val="0"/>
      <w:marBottom w:val="0"/>
      <w:divBdr>
        <w:top w:val="none" w:sz="0" w:space="0" w:color="auto"/>
        <w:left w:val="none" w:sz="0" w:space="0" w:color="auto"/>
        <w:bottom w:val="none" w:sz="0" w:space="0" w:color="auto"/>
        <w:right w:val="none" w:sz="0" w:space="0" w:color="auto"/>
      </w:divBdr>
    </w:div>
    <w:div w:id="21130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Geiser</dc:creator>
  <cp:keywords/>
  <dc:description/>
  <cp:lastModifiedBy>Amanda Geiser</cp:lastModifiedBy>
  <cp:revision>2</cp:revision>
  <dcterms:created xsi:type="dcterms:W3CDTF">2023-06-26T23:12:00Z</dcterms:created>
  <dcterms:modified xsi:type="dcterms:W3CDTF">2023-06-26T23:12:00Z</dcterms:modified>
</cp:coreProperties>
</file>