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1E551" w14:textId="77777777" w:rsidR="00D34783" w:rsidRDefault="00D34783" w:rsidP="00D34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2A. Whether the data are able to test the authors’ proposed hypotheses (or answer the proposed research question) by passing the approved outcome-neutral criteria, such as absence of floor and ceiling effects or success of positive controls or other quality checks.</w:t>
      </w:r>
    </w:p>
    <w:p w14:paraId="76873468" w14:textId="3991ABAE" w:rsidR="00D34783" w:rsidRPr="00211D47" w:rsidRDefault="004918E4" w:rsidP="00D34783">
      <w:pPr>
        <w:spacing w:before="100" w:beforeAutospacing="1" w:after="100" w:afterAutospacing="1"/>
        <w:rPr>
          <w:rFonts w:eastAsia="Times New Roman"/>
          <w:color w:val="5B9BD5" w:themeColor="accent1"/>
        </w:rPr>
      </w:pPr>
      <w:r w:rsidRPr="00211D47">
        <w:rPr>
          <w:rFonts w:eastAsia="Times New Roman"/>
          <w:color w:val="5B9BD5" w:themeColor="accent1"/>
        </w:rPr>
        <w:t xml:space="preserve">Yes, the data are able to test the author’s proposed hypotheses. </w:t>
      </w:r>
      <w:r w:rsidR="00E90B53" w:rsidRPr="00211D47">
        <w:rPr>
          <w:rFonts w:eastAsia="Times New Roman"/>
          <w:color w:val="5B9BD5" w:themeColor="accent1"/>
        </w:rPr>
        <w:t xml:space="preserve">For example, to strengthen their results for H2, they added equivalence testing (p. 17, l. 446). </w:t>
      </w:r>
      <w:r w:rsidR="002628B7" w:rsidRPr="00211D47">
        <w:rPr>
          <w:rFonts w:eastAsia="Times New Roman"/>
          <w:color w:val="5B9BD5" w:themeColor="accent1"/>
        </w:rPr>
        <w:t>Regarding H3, only 31 participants out of 40 filled in the Mini-TQ and they state that they “correlated the individual tinnitus distress values with the mean decoding accuracy of each individual in the previously analyzed pre-stimulus interval.” (p. 17, ll. 450-452). For the reader, it is unclear if you matched the Mini-TQ data for these specific 31 subjects. Could you clarify this and/or add some more detail here?</w:t>
      </w:r>
    </w:p>
    <w:p w14:paraId="3BF26DC5" w14:textId="77777777" w:rsidR="00D34783" w:rsidRDefault="00D34783" w:rsidP="00D34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2B. Whether the introduction, rationale and stated hypotheses (where applicable) are the same as the approved Stage 1 submission. This can be readily assessed by referring to the </w:t>
      </w:r>
      <w:hyperlink r:id="rId5" w:tooltip="tracked-changes manuscript supplied by the authors" w:history="1">
        <w:r>
          <w:rPr>
            <w:rStyle w:val="Strong"/>
            <w:rFonts w:eastAsia="Times New Roman"/>
            <w:color w:val="0000FF"/>
          </w:rPr>
          <w:t>tracked-changes manuscript supplied by the authors</w:t>
        </w:r>
        <w:r>
          <w:rPr>
            <w:rStyle w:val="Hyperlink"/>
            <w:rFonts w:eastAsia="Times New Roman"/>
          </w:rPr>
          <w:t>.</w:t>
        </w:r>
      </w:hyperlink>
    </w:p>
    <w:p w14:paraId="2373F38F" w14:textId="6FC1FA9A" w:rsidR="00D34783" w:rsidRPr="00211D47" w:rsidRDefault="004918E4" w:rsidP="00812A16">
      <w:pPr>
        <w:rPr>
          <w:rFonts w:eastAsia="Times New Roman"/>
          <w:color w:val="5B9BD5" w:themeColor="accent1"/>
        </w:rPr>
      </w:pPr>
      <w:r w:rsidRPr="00211D47">
        <w:rPr>
          <w:rFonts w:eastAsia="Times New Roman"/>
          <w:color w:val="5B9BD5" w:themeColor="accent1"/>
        </w:rPr>
        <w:t xml:space="preserve">Yes, the introduction, rationale and hypothesis were identical to the approved Stage 1 after inspecting the tracked-changes manuscript. The only changes made were due to the tense used. </w:t>
      </w:r>
    </w:p>
    <w:p w14:paraId="7E8B50F4" w14:textId="12E534B2" w:rsidR="00812A16" w:rsidRPr="00812A16" w:rsidRDefault="00D34783" w:rsidP="00812A1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2C. Whether the authors adhered precisely to the registered study procedures.</w:t>
      </w:r>
    </w:p>
    <w:p w14:paraId="45752849" w14:textId="4FFC51EF" w:rsidR="00D34783" w:rsidRPr="00211D47" w:rsidRDefault="00941A6A" w:rsidP="00D34783">
      <w:pPr>
        <w:spacing w:before="100" w:beforeAutospacing="1" w:after="100" w:afterAutospacing="1"/>
        <w:rPr>
          <w:rFonts w:eastAsia="Times New Roman"/>
          <w:color w:val="5B9BD5" w:themeColor="accent1"/>
        </w:rPr>
      </w:pPr>
      <w:r w:rsidRPr="00211D47">
        <w:rPr>
          <w:rFonts w:eastAsia="Times New Roman"/>
          <w:color w:val="5B9BD5" w:themeColor="accent1"/>
        </w:rPr>
        <w:t xml:space="preserve">Overall yes, some small adjustments were made, i.e.., p.17, l. 431, for the time window assessed.  </w:t>
      </w:r>
    </w:p>
    <w:p w14:paraId="3A97598D" w14:textId="77777777" w:rsidR="00D34783" w:rsidRDefault="00D34783" w:rsidP="00D34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2D. Where applicable, whether any unregistered exploratory analyses are justified, methodologically sound, and informative.</w:t>
      </w:r>
    </w:p>
    <w:p w14:paraId="277DD89D" w14:textId="4DFFD44E" w:rsidR="00D34783" w:rsidRPr="00211D47" w:rsidRDefault="00812A16" w:rsidP="00211D47">
      <w:pPr>
        <w:rPr>
          <w:rFonts w:eastAsia="Times New Roman"/>
          <w:color w:val="5B9BD5" w:themeColor="accent1"/>
        </w:rPr>
      </w:pPr>
      <w:r w:rsidRPr="00211D47">
        <w:rPr>
          <w:rFonts w:eastAsia="Times New Roman"/>
          <w:color w:val="5B9BD5" w:themeColor="accent1"/>
        </w:rPr>
        <w:t xml:space="preserve">Indeed, there were </w:t>
      </w:r>
      <w:r w:rsidR="00EA21C1" w:rsidRPr="00211D47">
        <w:rPr>
          <w:rFonts w:eastAsia="Times New Roman"/>
          <w:color w:val="5B9BD5" w:themeColor="accent1"/>
        </w:rPr>
        <w:t>exploratory analyses added, see the section “E</w:t>
      </w:r>
      <w:r w:rsidR="008B121C" w:rsidRPr="00211D47">
        <w:rPr>
          <w:rFonts w:eastAsia="Times New Roman"/>
          <w:color w:val="5B9BD5" w:themeColor="accent1"/>
        </w:rPr>
        <w:t>xploratory results</w:t>
      </w:r>
      <w:r w:rsidR="00EA21C1" w:rsidRPr="00211D47">
        <w:rPr>
          <w:rFonts w:eastAsia="Times New Roman"/>
          <w:color w:val="5B9BD5" w:themeColor="accent1"/>
        </w:rPr>
        <w:t>”. This was d</w:t>
      </w:r>
      <w:bookmarkStart w:id="0" w:name="_GoBack"/>
      <w:bookmarkEnd w:id="0"/>
      <w:r w:rsidR="00EA21C1" w:rsidRPr="00211D47">
        <w:rPr>
          <w:rFonts w:eastAsia="Times New Roman"/>
          <w:color w:val="5B9BD5" w:themeColor="accent1"/>
        </w:rPr>
        <w:t>one</w:t>
      </w:r>
      <w:r w:rsidR="008B121C" w:rsidRPr="00211D47">
        <w:rPr>
          <w:rFonts w:eastAsia="Times New Roman"/>
          <w:color w:val="5B9BD5" w:themeColor="accent1"/>
        </w:rPr>
        <w:t xml:space="preserve"> </w:t>
      </w:r>
      <w:r w:rsidR="00C7507D" w:rsidRPr="00211D47">
        <w:rPr>
          <w:rFonts w:eastAsia="Times New Roman"/>
          <w:color w:val="5B9BD5" w:themeColor="accent1"/>
        </w:rPr>
        <w:t>to compare the current results with the results of Partyka et al. (2019). I</w:t>
      </w:r>
      <w:r w:rsidRPr="00211D47">
        <w:rPr>
          <w:rFonts w:eastAsia="Times New Roman"/>
          <w:color w:val="5B9BD5" w:themeColor="accent1"/>
        </w:rPr>
        <w:t>n my opinion,</w:t>
      </w:r>
      <w:r w:rsidR="00C7507D" w:rsidRPr="00211D47">
        <w:rPr>
          <w:rFonts w:eastAsia="Times New Roman"/>
          <w:color w:val="5B9BD5" w:themeColor="accent1"/>
        </w:rPr>
        <w:t xml:space="preserve"> these elaborations</w:t>
      </w:r>
      <w:r w:rsidRPr="00211D47">
        <w:rPr>
          <w:rFonts w:eastAsia="Times New Roman"/>
          <w:color w:val="5B9BD5" w:themeColor="accent1"/>
        </w:rPr>
        <w:t xml:space="preserve"> add to the quality of the paper. </w:t>
      </w:r>
    </w:p>
    <w:p w14:paraId="21EBCADD" w14:textId="77777777" w:rsidR="00D34783" w:rsidRDefault="00D34783" w:rsidP="00D34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2E. Whether the authors’ conclusions are justified given the evidence.</w:t>
      </w:r>
    </w:p>
    <w:p w14:paraId="6DD2533A" w14:textId="38020002" w:rsidR="00141221" w:rsidRPr="00211D47" w:rsidRDefault="00874AFA">
      <w:pPr>
        <w:rPr>
          <w:color w:val="5B9BD5" w:themeColor="accent1"/>
        </w:rPr>
      </w:pPr>
      <w:r w:rsidRPr="00211D47">
        <w:rPr>
          <w:color w:val="5B9BD5" w:themeColor="accent1"/>
        </w:rPr>
        <w:t>Yes, the</w:t>
      </w:r>
      <w:r w:rsidR="00211D47" w:rsidRPr="00211D47">
        <w:rPr>
          <w:color w:val="5B9BD5" w:themeColor="accent1"/>
        </w:rPr>
        <w:t xml:space="preserve"> </w:t>
      </w:r>
      <w:r w:rsidR="00D139E8">
        <w:rPr>
          <w:color w:val="5B9BD5" w:themeColor="accent1"/>
        </w:rPr>
        <w:t xml:space="preserve">conclusions are justified. </w:t>
      </w:r>
    </w:p>
    <w:sectPr w:rsidR="00141221" w:rsidRPr="00211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452D"/>
    <w:multiLevelType w:val="multilevel"/>
    <w:tmpl w:val="061C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83"/>
    <w:rsid w:val="00141221"/>
    <w:rsid w:val="00211D47"/>
    <w:rsid w:val="002628B7"/>
    <w:rsid w:val="004918E4"/>
    <w:rsid w:val="00812A16"/>
    <w:rsid w:val="00874AFA"/>
    <w:rsid w:val="008B121C"/>
    <w:rsid w:val="00941A6A"/>
    <w:rsid w:val="00C7507D"/>
    <w:rsid w:val="00D139E8"/>
    <w:rsid w:val="00D34783"/>
    <w:rsid w:val="00E90B53"/>
    <w:rsid w:val="00E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B4C4"/>
  <w15:chartTrackingRefBased/>
  <w15:docId w15:val="{FAC06BB7-69F3-4B2A-B8AD-51CB3ABC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7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4783"/>
    <w:rPr>
      <w:b/>
      <w:bCs/>
    </w:rPr>
  </w:style>
  <w:style w:type="paragraph" w:styleId="ListParagraph">
    <w:name w:val="List Paragraph"/>
    <w:basedOn w:val="Normal"/>
    <w:uiPriority w:val="34"/>
    <w:qFormat/>
    <w:rsid w:val="00D3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f.io/download/apk2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Brinkmann, Pia (PSYCHOLOGY)</dc:creator>
  <cp:keywords/>
  <dc:description/>
  <cp:lastModifiedBy>Brinkmann, Pia (PSYCHOLOGY)</cp:lastModifiedBy>
  <cp:revision>12</cp:revision>
  <dcterms:created xsi:type="dcterms:W3CDTF">2024-03-01T09:01:00Z</dcterms:created>
  <dcterms:modified xsi:type="dcterms:W3CDTF">2024-03-01T10:27:00Z</dcterms:modified>
</cp:coreProperties>
</file>