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F7E9D" w14:textId="77777777" w:rsidR="00CE6598" w:rsidRDefault="00836E32">
      <w:pPr>
        <w:jc w:val="center"/>
        <w:rPr>
          <w:b/>
          <w:lang w:val="en-US"/>
        </w:rPr>
      </w:pPr>
      <w:r>
        <w:rPr>
          <w:b/>
          <w:lang w:val="en-US"/>
        </w:rPr>
        <w:t xml:space="preserve">Identifying Gaming Disorders by Ontology: </w:t>
      </w:r>
    </w:p>
    <w:p w14:paraId="5299485E" w14:textId="77777777" w:rsidR="00CE6598" w:rsidRDefault="00836E32">
      <w:pPr>
        <w:jc w:val="center"/>
        <w:rPr>
          <w:b/>
          <w:lang w:val="en-US"/>
        </w:rPr>
      </w:pPr>
      <w:r>
        <w:rPr>
          <w:b/>
          <w:lang w:val="en-US"/>
        </w:rPr>
        <w:t>A Nationally Representative Registered Report</w:t>
      </w:r>
    </w:p>
    <w:p w14:paraId="5D7A173D" w14:textId="77777777" w:rsidR="00CE6598" w:rsidRDefault="00836E32">
      <w:pPr>
        <w:jc w:val="both"/>
        <w:rPr>
          <w:lang w:val="en-US"/>
        </w:rPr>
      </w:pPr>
      <w:r>
        <w:rPr>
          <w:lang w:val="en-US"/>
        </w:rPr>
        <w:t xml:space="preserve"> </w:t>
      </w:r>
    </w:p>
    <w:p w14:paraId="2FDA57E0" w14:textId="2DDD346F" w:rsidR="00CE6598" w:rsidRDefault="00836E32">
      <w:pPr>
        <w:jc w:val="center"/>
        <w:rPr>
          <w:lang w:val="en-US"/>
        </w:rPr>
      </w:pPr>
      <w:r>
        <w:rPr>
          <w:lang w:val="en-US"/>
        </w:rPr>
        <w:t>[Stage 1, v</w:t>
      </w:r>
      <w:ins w:id="0" w:author="Karhulahti, Veli-Matti" w:date="2022-01-17T22:08:00Z">
        <w:r w:rsidR="00A1097D">
          <w:rPr>
            <w:lang w:val="en-US"/>
          </w:rPr>
          <w:t>7</w:t>
        </w:r>
      </w:ins>
      <w:del w:id="1" w:author="Karhulahti, Veli-Matti" w:date="2022-01-17T22:08:00Z">
        <w:r w:rsidR="00220269" w:rsidDel="00A1097D">
          <w:rPr>
            <w:lang w:val="en-US"/>
          </w:rPr>
          <w:delText>6</w:delText>
        </w:r>
      </w:del>
      <w:r>
        <w:rPr>
          <w:lang w:val="en-US"/>
        </w:rPr>
        <w:t>]</w:t>
      </w:r>
    </w:p>
    <w:p w14:paraId="666A089C" w14:textId="77777777" w:rsidR="00CE6598" w:rsidRDefault="00CE6598">
      <w:pPr>
        <w:jc w:val="both"/>
        <w:rPr>
          <w:lang w:val="en-US"/>
        </w:rPr>
      </w:pPr>
    </w:p>
    <w:p w14:paraId="0CD93984" w14:textId="77777777" w:rsidR="00CE6598" w:rsidRDefault="00CE6598">
      <w:pPr>
        <w:jc w:val="center"/>
        <w:rPr>
          <w:lang w:val="en-US"/>
        </w:rPr>
      </w:pPr>
    </w:p>
    <w:p w14:paraId="04804590" w14:textId="77777777" w:rsidR="00CE6598" w:rsidRDefault="00836E32">
      <w:pPr>
        <w:jc w:val="center"/>
      </w:pPr>
      <w:r>
        <w:rPr>
          <w:lang w:val="fi-FI"/>
        </w:rPr>
        <w:t>Veli-Matti Karhulahti</w:t>
      </w:r>
      <w:r>
        <w:rPr>
          <w:vertAlign w:val="superscript"/>
          <w:lang w:val="fi-FI"/>
        </w:rPr>
        <w:t>1</w:t>
      </w:r>
      <w:r>
        <w:rPr>
          <w:lang w:val="fi-FI"/>
        </w:rPr>
        <w:t>*,</w:t>
      </w:r>
    </w:p>
    <w:p w14:paraId="47F9592A" w14:textId="1180A1CE" w:rsidR="00CE6598" w:rsidRDefault="00836E32">
      <w:pPr>
        <w:jc w:val="center"/>
      </w:pPr>
      <w:r>
        <w:rPr>
          <w:lang w:val="fi-FI"/>
        </w:rPr>
        <w:t>Jukka Vahlo</w:t>
      </w:r>
      <w:r>
        <w:rPr>
          <w:vertAlign w:val="superscript"/>
          <w:lang w:val="fi-FI"/>
        </w:rPr>
        <w:t>1</w:t>
      </w:r>
      <w:r w:rsidR="00656E92">
        <w:rPr>
          <w:vertAlign w:val="superscript"/>
          <w:lang w:val="fi-FI"/>
        </w:rPr>
        <w:t>,</w:t>
      </w:r>
      <w:r w:rsidR="00866186">
        <w:rPr>
          <w:vertAlign w:val="superscript"/>
          <w:lang w:val="fi-FI"/>
        </w:rPr>
        <w:t>2</w:t>
      </w:r>
      <w:r>
        <w:rPr>
          <w:lang w:val="fi-FI"/>
        </w:rPr>
        <w:t>,</w:t>
      </w:r>
    </w:p>
    <w:p w14:paraId="43DE6E68" w14:textId="6E63839B" w:rsidR="00CE6598" w:rsidRDefault="00836E32">
      <w:pPr>
        <w:jc w:val="center"/>
      </w:pPr>
      <w:r>
        <w:rPr>
          <w:lang w:val="fi-FI"/>
        </w:rPr>
        <w:t>Marcel Martončik</w:t>
      </w:r>
      <w:r w:rsidR="008A4EBF">
        <w:rPr>
          <w:vertAlign w:val="superscript"/>
          <w:lang w:val="fi-FI"/>
        </w:rPr>
        <w:t>3</w:t>
      </w:r>
      <w:r>
        <w:rPr>
          <w:lang w:val="fi-FI"/>
        </w:rPr>
        <w:t>,</w:t>
      </w:r>
    </w:p>
    <w:p w14:paraId="473E76EE" w14:textId="77777777" w:rsidR="00CE6598" w:rsidRDefault="00836E32">
      <w:pPr>
        <w:jc w:val="center"/>
      </w:pPr>
      <w:r>
        <w:rPr>
          <w:lang w:val="fi-FI"/>
        </w:rPr>
        <w:t>Matti Munukka</w:t>
      </w:r>
      <w:r>
        <w:rPr>
          <w:vertAlign w:val="superscript"/>
          <w:lang w:val="fi-FI"/>
        </w:rPr>
        <w:t>1</w:t>
      </w:r>
      <w:r>
        <w:rPr>
          <w:lang w:val="fi-FI"/>
        </w:rPr>
        <w:t>,</w:t>
      </w:r>
    </w:p>
    <w:p w14:paraId="4265588F" w14:textId="77777777" w:rsidR="00CE6598" w:rsidRDefault="00836E32">
      <w:pPr>
        <w:jc w:val="center"/>
      </w:pPr>
      <w:r>
        <w:rPr>
          <w:lang w:val="fi-FI"/>
        </w:rPr>
        <w:t>Raine Koskimaa</w:t>
      </w:r>
      <w:r>
        <w:rPr>
          <w:vertAlign w:val="superscript"/>
          <w:lang w:val="fi-FI"/>
        </w:rPr>
        <w:t>1</w:t>
      </w:r>
      <w:r>
        <w:rPr>
          <w:lang w:val="fi-FI"/>
        </w:rPr>
        <w:t>,</w:t>
      </w:r>
    </w:p>
    <w:p w14:paraId="45034675" w14:textId="0FAD8079" w:rsidR="00CE6598" w:rsidRPr="00656E92" w:rsidRDefault="00836E32">
      <w:pPr>
        <w:jc w:val="center"/>
        <w:rPr>
          <w:lang w:val="sv-SE"/>
        </w:rPr>
      </w:pPr>
      <w:r w:rsidRPr="00656E92">
        <w:rPr>
          <w:lang w:val="sv-SE"/>
        </w:rPr>
        <w:t>Mikaela von Bonsdorff</w:t>
      </w:r>
      <w:r w:rsidRPr="00656E92">
        <w:rPr>
          <w:vertAlign w:val="superscript"/>
          <w:lang w:val="sv-SE"/>
        </w:rPr>
        <w:t>1</w:t>
      </w:r>
      <w:r w:rsidR="00BF215C" w:rsidRPr="00656E92">
        <w:rPr>
          <w:vertAlign w:val="superscript"/>
          <w:lang w:val="sv-SE"/>
        </w:rPr>
        <w:t xml:space="preserve">, </w:t>
      </w:r>
      <w:r w:rsidR="008A4EBF">
        <w:rPr>
          <w:vertAlign w:val="superscript"/>
          <w:lang w:val="sv-SE"/>
        </w:rPr>
        <w:t>4</w:t>
      </w:r>
    </w:p>
    <w:p w14:paraId="29B2CE8C" w14:textId="77777777" w:rsidR="00CE6598" w:rsidRPr="00656E92" w:rsidRDefault="00CE6598">
      <w:pPr>
        <w:jc w:val="center"/>
        <w:rPr>
          <w:lang w:val="sv-SE"/>
        </w:rPr>
      </w:pPr>
    </w:p>
    <w:p w14:paraId="4BAA94BE" w14:textId="77777777" w:rsidR="00CE6598" w:rsidRPr="00656E92" w:rsidRDefault="00836E32">
      <w:pPr>
        <w:jc w:val="center"/>
        <w:rPr>
          <w:lang w:val="sv-SE"/>
        </w:rPr>
      </w:pPr>
      <w:r w:rsidRPr="00656E92">
        <w:rPr>
          <w:lang w:val="sv-SE"/>
        </w:rPr>
        <w:t xml:space="preserve">1 University </w:t>
      </w:r>
      <w:proofErr w:type="spellStart"/>
      <w:r w:rsidRPr="00656E92">
        <w:rPr>
          <w:lang w:val="sv-SE"/>
        </w:rPr>
        <w:t>of</w:t>
      </w:r>
      <w:proofErr w:type="spellEnd"/>
      <w:r w:rsidRPr="00656E92">
        <w:rPr>
          <w:lang w:val="sv-SE"/>
        </w:rPr>
        <w:t xml:space="preserve"> Jyväskylä, Jyväskylä, Finland</w:t>
      </w:r>
    </w:p>
    <w:p w14:paraId="6EC2D77F" w14:textId="002F5E5C" w:rsidR="00866186" w:rsidRPr="00BF215C" w:rsidRDefault="008A4EBF" w:rsidP="00866186">
      <w:pPr>
        <w:jc w:val="center"/>
        <w:rPr>
          <w:lang w:val="en-GB"/>
        </w:rPr>
      </w:pPr>
      <w:r>
        <w:rPr>
          <w:lang w:val="en-GB"/>
        </w:rPr>
        <w:t>2</w:t>
      </w:r>
      <w:r w:rsidR="00866186">
        <w:rPr>
          <w:lang w:val="en-GB"/>
        </w:rPr>
        <w:t xml:space="preserve"> University of Turku, Turku, Finland</w:t>
      </w:r>
    </w:p>
    <w:p w14:paraId="6A192C97" w14:textId="23AD2DA2" w:rsidR="00CE6598" w:rsidRDefault="008A4EBF">
      <w:pPr>
        <w:jc w:val="center"/>
        <w:rPr>
          <w:lang w:val="en-US"/>
        </w:rPr>
      </w:pPr>
      <w:r>
        <w:rPr>
          <w:lang w:val="en-US"/>
        </w:rPr>
        <w:t>3</w:t>
      </w:r>
      <w:r w:rsidR="00836E32">
        <w:rPr>
          <w:lang w:val="en-US"/>
        </w:rPr>
        <w:t xml:space="preserve"> University of Prešov, Prešov, Slovakia</w:t>
      </w:r>
    </w:p>
    <w:p w14:paraId="62D08873" w14:textId="6745531F" w:rsidR="00CE6598" w:rsidRDefault="008A4EBF">
      <w:pPr>
        <w:jc w:val="center"/>
        <w:rPr>
          <w:lang w:val="en-US"/>
        </w:rPr>
      </w:pPr>
      <w:r>
        <w:rPr>
          <w:lang w:val="en-US"/>
        </w:rPr>
        <w:t>3</w:t>
      </w:r>
      <w:r w:rsidR="00836E32">
        <w:rPr>
          <w:lang w:val="en-US"/>
        </w:rPr>
        <w:t xml:space="preserve"> Institute of Social Sciences, CSPS SAS, Slovakia </w:t>
      </w:r>
    </w:p>
    <w:p w14:paraId="3F3B53DE" w14:textId="3DE0783E" w:rsidR="00BF215C" w:rsidRDefault="008A4EBF" w:rsidP="00BF215C">
      <w:pPr>
        <w:jc w:val="center"/>
        <w:rPr>
          <w:lang w:val="en-GB"/>
        </w:rPr>
      </w:pPr>
      <w:r>
        <w:rPr>
          <w:lang w:val="en-GB"/>
        </w:rPr>
        <w:t>4</w:t>
      </w:r>
      <w:r w:rsidR="00BF215C" w:rsidRPr="00BF215C">
        <w:rPr>
          <w:lang w:val="en-GB"/>
        </w:rPr>
        <w:t xml:space="preserve"> </w:t>
      </w:r>
      <w:proofErr w:type="spellStart"/>
      <w:r w:rsidR="00BF215C" w:rsidRPr="00BF215C">
        <w:rPr>
          <w:lang w:val="en-GB"/>
        </w:rPr>
        <w:t>Folkhälsan</w:t>
      </w:r>
      <w:proofErr w:type="spellEnd"/>
      <w:r w:rsidR="00BF215C" w:rsidRPr="00BF215C">
        <w:rPr>
          <w:lang w:val="en-GB"/>
        </w:rPr>
        <w:t xml:space="preserve"> Research </w:t>
      </w:r>
      <w:proofErr w:type="spellStart"/>
      <w:r w:rsidR="00BF215C" w:rsidRPr="00BF215C">
        <w:rPr>
          <w:lang w:val="en-GB"/>
        </w:rPr>
        <w:t>Center</w:t>
      </w:r>
      <w:proofErr w:type="spellEnd"/>
      <w:r w:rsidR="00BF215C" w:rsidRPr="00BF215C">
        <w:rPr>
          <w:lang w:val="en-GB"/>
        </w:rPr>
        <w:t xml:space="preserve">, Helsinki, Finland </w:t>
      </w:r>
    </w:p>
    <w:p w14:paraId="2F4FD285" w14:textId="77777777" w:rsidR="00BF215C" w:rsidRDefault="00BF215C">
      <w:pPr>
        <w:jc w:val="center"/>
        <w:rPr>
          <w:lang w:val="en-US"/>
        </w:rPr>
      </w:pPr>
    </w:p>
    <w:p w14:paraId="750F9DAF" w14:textId="77777777" w:rsidR="00CE6598" w:rsidRDefault="00836E32">
      <w:pPr>
        <w:jc w:val="center"/>
        <w:rPr>
          <w:lang w:val="en-US"/>
        </w:rPr>
      </w:pPr>
      <w:r>
        <w:rPr>
          <w:lang w:val="en-US"/>
        </w:rPr>
        <w:t xml:space="preserve">* Corresponding author, </w:t>
      </w:r>
      <w:r>
        <w:rPr>
          <w:color w:val="00007F"/>
          <w:lang w:val="en-US"/>
        </w:rPr>
        <w:t>vmmkar@utu.fi</w:t>
      </w:r>
    </w:p>
    <w:p w14:paraId="732130B7" w14:textId="77777777" w:rsidR="00CE6598" w:rsidRDefault="00CE6598">
      <w:pPr>
        <w:pStyle w:val="NormalWeb"/>
        <w:jc w:val="center"/>
        <w:rPr>
          <w:b/>
          <w:bCs/>
          <w:sz w:val="22"/>
          <w:szCs w:val="22"/>
          <w:lang w:val="en-US"/>
        </w:rPr>
      </w:pPr>
    </w:p>
    <w:p w14:paraId="5B56DD48" w14:textId="77777777" w:rsidR="00CE6598" w:rsidRDefault="00836E32">
      <w:pPr>
        <w:pStyle w:val="NormalWeb"/>
        <w:jc w:val="center"/>
        <w:rPr>
          <w:b/>
          <w:bCs/>
          <w:sz w:val="22"/>
          <w:szCs w:val="22"/>
          <w:lang w:val="en-US"/>
        </w:rPr>
      </w:pPr>
      <w:r>
        <w:rPr>
          <w:b/>
          <w:bCs/>
          <w:sz w:val="22"/>
          <w:szCs w:val="22"/>
          <w:lang w:val="en-US"/>
        </w:rPr>
        <w:t>Author Note</w:t>
      </w:r>
    </w:p>
    <w:p w14:paraId="2E73F64A" w14:textId="32E186B0" w:rsidR="00CE6598" w:rsidRDefault="00B95286">
      <w:pPr>
        <w:pStyle w:val="NormalWeb"/>
        <w:rPr>
          <w:sz w:val="22"/>
          <w:szCs w:val="22"/>
          <w:lang w:val="en-US"/>
        </w:rPr>
      </w:pPr>
      <w:r>
        <w:rPr>
          <w:sz w:val="22"/>
          <w:szCs w:val="22"/>
          <w:lang w:val="en-US"/>
        </w:rPr>
        <w:t>Review</w:t>
      </w:r>
      <w:r w:rsidR="00836E32">
        <w:rPr>
          <w:sz w:val="22"/>
          <w:szCs w:val="22"/>
          <w:lang w:val="en-US"/>
        </w:rPr>
        <w:t xml:space="preserve"> </w:t>
      </w:r>
      <w:r>
        <w:rPr>
          <w:sz w:val="22"/>
          <w:szCs w:val="22"/>
          <w:lang w:val="en-US"/>
        </w:rPr>
        <w:t>round</w:t>
      </w:r>
      <w:r w:rsidR="00836E32">
        <w:rPr>
          <w:sz w:val="22"/>
          <w:szCs w:val="22"/>
          <w:lang w:val="en-US"/>
        </w:rPr>
        <w:t xml:space="preserve"> </w:t>
      </w:r>
      <w:ins w:id="2" w:author="Karhulahti, Veli-Matti" w:date="2022-01-17T22:08:00Z">
        <w:r w:rsidR="00A1097D">
          <w:rPr>
            <w:sz w:val="22"/>
            <w:szCs w:val="22"/>
            <w:lang w:val="en-US"/>
          </w:rPr>
          <w:t>4</w:t>
        </w:r>
      </w:ins>
      <w:del w:id="3" w:author="Karhulahti, Veli-Matti" w:date="2022-01-17T22:08:00Z">
        <w:r w:rsidR="00220269" w:rsidDel="00A1097D">
          <w:rPr>
            <w:sz w:val="22"/>
            <w:szCs w:val="22"/>
            <w:lang w:val="en-US"/>
          </w:rPr>
          <w:delText>3</w:delText>
        </w:r>
      </w:del>
      <w:r w:rsidR="00836E32">
        <w:rPr>
          <w:sz w:val="22"/>
          <w:szCs w:val="22"/>
          <w:lang w:val="en-US"/>
        </w:rPr>
        <w:t xml:space="preserve">.0, </w:t>
      </w:r>
      <w:r w:rsidR="008A4EBF">
        <w:rPr>
          <w:sz w:val="22"/>
          <w:szCs w:val="22"/>
          <w:lang w:val="en-US"/>
        </w:rPr>
        <w:t>1</w:t>
      </w:r>
      <w:ins w:id="4" w:author="Karhulahti, Veli-Matti" w:date="2022-01-17T22:23:00Z">
        <w:r w:rsidR="00184873">
          <w:rPr>
            <w:sz w:val="22"/>
            <w:szCs w:val="22"/>
            <w:lang w:val="en-US"/>
          </w:rPr>
          <w:t>7</w:t>
        </w:r>
      </w:ins>
      <w:del w:id="5" w:author="Karhulahti, Veli-Matti" w:date="2022-01-17T22:23:00Z">
        <w:r w:rsidR="00220269" w:rsidDel="00184873">
          <w:rPr>
            <w:sz w:val="22"/>
            <w:szCs w:val="22"/>
            <w:lang w:val="en-US"/>
          </w:rPr>
          <w:delText>4</w:delText>
        </w:r>
      </w:del>
      <w:r w:rsidR="00836E32">
        <w:rPr>
          <w:sz w:val="22"/>
          <w:szCs w:val="22"/>
          <w:lang w:val="en-US"/>
        </w:rPr>
        <w:t>.</w:t>
      </w:r>
      <w:r w:rsidR="00AE35DE">
        <w:rPr>
          <w:sz w:val="22"/>
          <w:szCs w:val="22"/>
          <w:lang w:val="en-US"/>
        </w:rPr>
        <w:t>1</w:t>
      </w:r>
      <w:r w:rsidR="00836E32">
        <w:rPr>
          <w:sz w:val="22"/>
          <w:szCs w:val="22"/>
          <w:lang w:val="en-US"/>
        </w:rPr>
        <w:t>.202</w:t>
      </w:r>
      <w:r w:rsidR="008A4EBF">
        <w:rPr>
          <w:sz w:val="22"/>
          <w:szCs w:val="22"/>
          <w:lang w:val="en-US"/>
        </w:rPr>
        <w:t>2</w:t>
      </w:r>
      <w:r w:rsidR="00836E32">
        <w:rPr>
          <w:sz w:val="22"/>
          <w:szCs w:val="22"/>
          <w:lang w:val="en-US"/>
        </w:rPr>
        <w:t>. This paper has not been peer reviewed.</w:t>
      </w:r>
    </w:p>
    <w:p w14:paraId="31BC3446" w14:textId="1639D6D4" w:rsidR="00CE6598" w:rsidRDefault="00836E32">
      <w:pPr>
        <w:pStyle w:val="NormalWeb"/>
        <w:spacing w:before="0" w:after="0"/>
        <w:rPr>
          <w:lang w:val="en-US"/>
        </w:rPr>
      </w:pPr>
      <w:r>
        <w:rPr>
          <w:b/>
          <w:bCs/>
          <w:sz w:val="22"/>
          <w:szCs w:val="22"/>
          <w:lang w:val="en-US"/>
        </w:rPr>
        <w:t xml:space="preserve">Word count: </w:t>
      </w:r>
      <w:r w:rsidR="00566C13">
        <w:rPr>
          <w:sz w:val="22"/>
          <w:szCs w:val="22"/>
          <w:lang w:val="en-US"/>
        </w:rPr>
        <w:t>4331</w:t>
      </w:r>
      <w:r w:rsidR="00773F7E">
        <w:rPr>
          <w:sz w:val="22"/>
          <w:szCs w:val="22"/>
          <w:lang w:val="en-US"/>
        </w:rPr>
        <w:t xml:space="preserve"> </w:t>
      </w:r>
      <w:r>
        <w:rPr>
          <w:sz w:val="22"/>
          <w:szCs w:val="22"/>
          <w:lang w:val="en-US"/>
        </w:rPr>
        <w:t>(</w:t>
      </w:r>
      <w:r w:rsidR="00AA016D">
        <w:rPr>
          <w:sz w:val="22"/>
          <w:szCs w:val="22"/>
          <w:lang w:val="en-US"/>
        </w:rPr>
        <w:t>including</w:t>
      </w:r>
      <w:r w:rsidR="00566C13">
        <w:rPr>
          <w:sz w:val="22"/>
          <w:szCs w:val="22"/>
          <w:lang w:val="en-US"/>
        </w:rPr>
        <w:t xml:space="preserve"> </w:t>
      </w:r>
      <w:r>
        <w:rPr>
          <w:sz w:val="22"/>
          <w:szCs w:val="22"/>
          <w:lang w:val="en-US"/>
        </w:rPr>
        <w:t>abstract</w:t>
      </w:r>
      <w:r w:rsidR="00566C13">
        <w:rPr>
          <w:sz w:val="22"/>
          <w:szCs w:val="22"/>
          <w:lang w:val="en-US"/>
        </w:rPr>
        <w:t>, captions,</w:t>
      </w:r>
      <w:r>
        <w:rPr>
          <w:sz w:val="22"/>
          <w:szCs w:val="22"/>
          <w:lang w:val="en-US"/>
        </w:rPr>
        <w:t xml:space="preserve"> and references)</w:t>
      </w:r>
      <w:r>
        <w:rPr>
          <w:sz w:val="22"/>
          <w:szCs w:val="22"/>
          <w:lang w:val="en-US"/>
        </w:rPr>
        <w:br/>
      </w:r>
      <w:r>
        <w:rPr>
          <w:b/>
          <w:bCs/>
          <w:sz w:val="22"/>
          <w:szCs w:val="22"/>
          <w:lang w:val="en-US"/>
        </w:rPr>
        <w:t xml:space="preserve">Appendix 1: </w:t>
      </w:r>
      <w:r>
        <w:rPr>
          <w:sz w:val="22"/>
          <w:szCs w:val="22"/>
          <w:lang w:val="en-US"/>
        </w:rPr>
        <w:t xml:space="preserve">Pilot </w:t>
      </w:r>
    </w:p>
    <w:p w14:paraId="1C2E2E89" w14:textId="77777777" w:rsidR="00CE6598" w:rsidRDefault="00836E32">
      <w:pPr>
        <w:pStyle w:val="NormalWeb"/>
        <w:spacing w:before="0" w:after="0"/>
        <w:rPr>
          <w:lang w:val="en-US"/>
        </w:rPr>
      </w:pPr>
      <w:r>
        <w:rPr>
          <w:b/>
          <w:bCs/>
          <w:sz w:val="22"/>
          <w:szCs w:val="22"/>
          <w:lang w:val="en-US"/>
        </w:rPr>
        <w:t xml:space="preserve">Appendix 2: </w:t>
      </w:r>
      <w:r>
        <w:rPr>
          <w:sz w:val="22"/>
          <w:szCs w:val="22"/>
          <w:lang w:val="en-US"/>
        </w:rPr>
        <w:t xml:space="preserve">Research questions and hypotheses </w:t>
      </w:r>
    </w:p>
    <w:p w14:paraId="32BBEDBA" w14:textId="15547CF0" w:rsidR="00CE6598" w:rsidRDefault="00300AF0">
      <w:pPr>
        <w:pStyle w:val="NormalWeb"/>
        <w:spacing w:before="0" w:after="0"/>
        <w:rPr>
          <w:lang w:val="en-US"/>
        </w:rPr>
      </w:pPr>
      <w:r>
        <w:rPr>
          <w:b/>
          <w:bCs/>
          <w:sz w:val="22"/>
          <w:szCs w:val="22"/>
          <w:lang w:val="en-US"/>
        </w:rPr>
        <w:t>Code, Data, and</w:t>
      </w:r>
      <w:r w:rsidR="0020509F">
        <w:rPr>
          <w:b/>
          <w:bCs/>
          <w:sz w:val="22"/>
          <w:szCs w:val="22"/>
          <w:lang w:val="en-US"/>
        </w:rPr>
        <w:t xml:space="preserve"> other</w:t>
      </w:r>
      <w:r>
        <w:rPr>
          <w:b/>
          <w:bCs/>
          <w:sz w:val="22"/>
          <w:szCs w:val="22"/>
          <w:lang w:val="en-US"/>
        </w:rPr>
        <w:t xml:space="preserve"> </w:t>
      </w:r>
      <w:r w:rsidR="00836E32">
        <w:rPr>
          <w:b/>
          <w:bCs/>
          <w:sz w:val="22"/>
          <w:szCs w:val="22"/>
          <w:lang w:val="en-US"/>
        </w:rPr>
        <w:t>Materials</w:t>
      </w:r>
      <w:r w:rsidR="00836E32">
        <w:rPr>
          <w:sz w:val="22"/>
          <w:szCs w:val="22"/>
          <w:lang w:val="en-US"/>
        </w:rPr>
        <w:t xml:space="preserve">: </w:t>
      </w:r>
      <w:r>
        <w:rPr>
          <w:sz w:val="22"/>
          <w:szCs w:val="22"/>
          <w:lang w:val="en-US"/>
        </w:rPr>
        <w:t xml:space="preserve">The data will be stored and made available for </w:t>
      </w:r>
      <w:r w:rsidR="002A0E1B">
        <w:rPr>
          <w:sz w:val="22"/>
          <w:szCs w:val="22"/>
          <w:lang w:val="en-US"/>
        </w:rPr>
        <w:t xml:space="preserve">scientific </w:t>
      </w:r>
      <w:r>
        <w:rPr>
          <w:sz w:val="22"/>
          <w:szCs w:val="22"/>
          <w:lang w:val="en-US"/>
        </w:rPr>
        <w:t xml:space="preserve">reuse in the Finnish Social Science Data Archive (FSD). The code and other </w:t>
      </w:r>
      <w:r w:rsidR="0020509F">
        <w:rPr>
          <w:sz w:val="22"/>
          <w:szCs w:val="22"/>
          <w:lang w:val="en-US"/>
        </w:rPr>
        <w:t xml:space="preserve">relevant </w:t>
      </w:r>
      <w:r>
        <w:rPr>
          <w:sz w:val="22"/>
          <w:szCs w:val="22"/>
          <w:lang w:val="en-US"/>
        </w:rPr>
        <w:t>materials will be stored via OSF in th</w:t>
      </w:r>
      <w:r w:rsidR="002A0E1B">
        <w:rPr>
          <w:sz w:val="22"/>
          <w:szCs w:val="22"/>
          <w:lang w:val="en-US"/>
        </w:rPr>
        <w:t>e following location:</w:t>
      </w:r>
      <w:r>
        <w:rPr>
          <w:sz w:val="22"/>
          <w:szCs w:val="22"/>
          <w:lang w:val="en-US"/>
        </w:rPr>
        <w:t xml:space="preserve"> </w:t>
      </w:r>
      <w:hyperlink r:id="rId7" w:history="1">
        <w:r w:rsidRPr="00300AF0">
          <w:rPr>
            <w:rStyle w:val="Hyperlink"/>
            <w:sz w:val="22"/>
            <w:szCs w:val="22"/>
            <w:lang w:val="en-US"/>
          </w:rPr>
          <w:t>https://osf.io/6fqm5/</w:t>
        </w:r>
      </w:hyperlink>
      <w:r w:rsidR="00836E32">
        <w:rPr>
          <w:sz w:val="22"/>
          <w:szCs w:val="22"/>
          <w:lang w:val="en-US"/>
        </w:rPr>
        <w:t xml:space="preserve"> </w:t>
      </w:r>
    </w:p>
    <w:p w14:paraId="6E9BB5A2" w14:textId="326F529F" w:rsidR="00CE6598" w:rsidRPr="00D03DD4" w:rsidRDefault="006B0EF6">
      <w:pPr>
        <w:jc w:val="both"/>
        <w:rPr>
          <w:bCs/>
          <w:lang w:val="en-US"/>
        </w:rPr>
      </w:pPr>
      <w:r>
        <w:rPr>
          <w:b/>
          <w:lang w:val="en-US"/>
        </w:rPr>
        <w:t>Funding</w:t>
      </w:r>
      <w:r w:rsidRPr="00D03DD4">
        <w:rPr>
          <w:bCs/>
          <w:lang w:val="en-US"/>
        </w:rPr>
        <w:t xml:space="preserve">: </w:t>
      </w:r>
      <w:r w:rsidR="00D03DD4" w:rsidRPr="00D03DD4">
        <w:rPr>
          <w:bCs/>
          <w:lang w:val="en-US"/>
        </w:rPr>
        <w:t>The work was supported by the Finnish Work Environment Fund (200349), Academy of Finland (312397), and the Slovak Research and Development Agency under the Contract no. APVV-18-0140.</w:t>
      </w:r>
    </w:p>
    <w:p w14:paraId="6694097A" w14:textId="77777777" w:rsidR="00CE6598" w:rsidRDefault="00CE6598">
      <w:pPr>
        <w:jc w:val="both"/>
        <w:rPr>
          <w:b/>
          <w:lang w:val="en-US"/>
        </w:rPr>
      </w:pPr>
    </w:p>
    <w:p w14:paraId="583C7073" w14:textId="77777777" w:rsidR="00CE6598" w:rsidRDefault="00CE6598">
      <w:pPr>
        <w:jc w:val="both"/>
        <w:rPr>
          <w:b/>
          <w:lang w:val="en-US"/>
        </w:rPr>
      </w:pPr>
    </w:p>
    <w:p w14:paraId="21B2D188" w14:textId="77777777" w:rsidR="00CE6598" w:rsidRDefault="00836E32">
      <w:pPr>
        <w:pStyle w:val="NormalWeb"/>
        <w:jc w:val="center"/>
        <w:rPr>
          <w:b/>
          <w:bCs/>
          <w:sz w:val="22"/>
          <w:szCs w:val="22"/>
          <w:lang w:val="en-US"/>
        </w:rPr>
      </w:pPr>
      <w:r>
        <w:rPr>
          <w:b/>
          <w:bCs/>
          <w:sz w:val="22"/>
          <w:szCs w:val="22"/>
          <w:lang w:val="en-US"/>
        </w:rPr>
        <w:t>Abstract</w:t>
      </w:r>
    </w:p>
    <w:p w14:paraId="4A8E9577" w14:textId="1DB7F95A" w:rsidR="008A4EBF" w:rsidRDefault="00836E32">
      <w:pPr>
        <w:jc w:val="both"/>
        <w:rPr>
          <w:b/>
          <w:lang w:val="en-US"/>
        </w:rPr>
      </w:pPr>
      <w:r>
        <w:rPr>
          <w:lang w:val="en-US"/>
        </w:rPr>
        <w:t>Gaming-related health problems have been researched since the 1980s</w:t>
      </w:r>
      <w:r w:rsidR="00AE35DE">
        <w:rPr>
          <w:lang w:val="en-US"/>
        </w:rPr>
        <w:t xml:space="preserve"> with </w:t>
      </w:r>
      <w:r>
        <w:rPr>
          <w:lang w:val="en-US"/>
        </w:rPr>
        <w:t>numerous different “ontologies” as reference systems, from self-assessed “game addiction” to “pathological gambling” (in the DSM-IV), “internet gaming disorder” (in the 3</w:t>
      </w:r>
      <w:r>
        <w:rPr>
          <w:vertAlign w:val="superscript"/>
          <w:lang w:val="en-US"/>
        </w:rPr>
        <w:t>rd</w:t>
      </w:r>
      <w:r>
        <w:rPr>
          <w:lang w:val="en-US"/>
        </w:rPr>
        <w:t xml:space="preserve"> section of the DSM-5) and most recently “gaming disorder” (in the ICD-11). The</w:t>
      </w:r>
      <w:r w:rsidR="00F4383F">
        <w:rPr>
          <w:lang w:val="en-US"/>
        </w:rPr>
        <w:t>ir</w:t>
      </w:r>
      <w:r>
        <w:rPr>
          <w:lang w:val="en-US"/>
        </w:rPr>
        <w:t xml:space="preserve"> differences have not been studied explicitly, however. In this registered report, we ask: how do screening instruments that derive from different ontologi</w:t>
      </w:r>
      <w:r w:rsidR="00B35DA2">
        <w:rPr>
          <w:lang w:val="en-US"/>
        </w:rPr>
        <w:t>es</w:t>
      </w:r>
      <w:r>
        <w:rPr>
          <w:lang w:val="en-US"/>
        </w:rPr>
        <w:t xml:space="preserve"> differ in identifying</w:t>
      </w:r>
      <w:r w:rsidR="001C75DA">
        <w:rPr>
          <w:lang w:val="en-US"/>
        </w:rPr>
        <w:t xml:space="preserve"> associated </w:t>
      </w:r>
      <w:r w:rsidR="000F4A69">
        <w:rPr>
          <w:lang w:val="en-US"/>
        </w:rPr>
        <w:t xml:space="preserve">problem </w:t>
      </w:r>
      <w:r w:rsidR="001C75DA">
        <w:rPr>
          <w:lang w:val="en-US"/>
        </w:rPr>
        <w:t>groups?</w:t>
      </w:r>
      <w:r>
        <w:rPr>
          <w:lang w:val="en-US"/>
        </w:rPr>
        <w:t xml:space="preserve"> By using four </w:t>
      </w:r>
      <w:r w:rsidR="00BF215C">
        <w:rPr>
          <w:lang w:val="en-US"/>
        </w:rPr>
        <w:t xml:space="preserve">central </w:t>
      </w:r>
      <w:r>
        <w:rPr>
          <w:lang w:val="en-US"/>
        </w:rPr>
        <w:t>screening instruments, each of which represent a different ontological basis, we provide a nationally representative (</w:t>
      </w:r>
      <w:r>
        <w:rPr>
          <w:i/>
          <w:iCs/>
          <w:lang w:val="en-US"/>
        </w:rPr>
        <w:t>N</w:t>
      </w:r>
      <w:r>
        <w:rPr>
          <w:lang w:val="en-US"/>
        </w:rPr>
        <w:t xml:space="preserve">=8000) comparative “gaming disorder” prevalence (in Finland) and test three hypotheses concerning the possible multiplicity of the construct, which is currently discussed as a single “gaming disorder” in medical and scholarly domains. </w:t>
      </w:r>
    </w:p>
    <w:p w14:paraId="7EAE57EC" w14:textId="72FF633A" w:rsidR="00CE6598" w:rsidRDefault="00836E32">
      <w:pPr>
        <w:jc w:val="both"/>
        <w:rPr>
          <w:b/>
          <w:lang w:val="en-US"/>
        </w:rPr>
      </w:pPr>
      <w:r>
        <w:rPr>
          <w:b/>
          <w:lang w:val="en-US"/>
        </w:rPr>
        <w:lastRenderedPageBreak/>
        <w:t>Introduction</w:t>
      </w:r>
    </w:p>
    <w:p w14:paraId="3FE47E8D" w14:textId="47F843E5" w:rsidR="00CE6598" w:rsidRDefault="00836E32">
      <w:pPr>
        <w:jc w:val="both"/>
        <w:rPr>
          <w:lang w:val="en-US"/>
        </w:rPr>
      </w:pPr>
      <w:r>
        <w:rPr>
          <w:lang w:val="en-US"/>
        </w:rPr>
        <w:t>A lot of scientific effort has recently been invested in studying the relationship between technology use and wellbeing. A key theme in this research are the suggested mental disorders related to technology use, which outside diagnostic manuals are often discussed as “addictions”</w:t>
      </w:r>
      <w:r w:rsidR="002467C8">
        <w:rPr>
          <w:lang w:val="en-US"/>
        </w:rPr>
        <w:t>,</w:t>
      </w:r>
      <w:r>
        <w:rPr>
          <w:lang w:val="en-US"/>
        </w:rPr>
        <w:t xml:space="preserve"> such as “social media addiction”</w:t>
      </w:r>
      <w:r w:rsidR="002467C8">
        <w:rPr>
          <w:lang w:val="en-US"/>
        </w:rPr>
        <w:t>.</w:t>
      </w:r>
      <w:r>
        <w:rPr>
          <w:lang w:val="en-US"/>
        </w:rPr>
        <w:t xml:space="preserve"> At the time of writing, one technology-related disorder has received approval from the World Health Organization (WHO): in 2019, “gaming disorder” was confirmed to be included in the </w:t>
      </w:r>
      <w:r>
        <w:rPr>
          <w:i/>
          <w:lang w:val="en-US"/>
        </w:rPr>
        <w:t xml:space="preserve">International Classification of Diseases </w:t>
      </w:r>
      <w:r>
        <w:rPr>
          <w:lang w:val="en-US"/>
        </w:rPr>
        <w:t>(ICD-11)</w:t>
      </w:r>
      <w:r>
        <w:rPr>
          <w:i/>
          <w:lang w:val="en-US"/>
        </w:rPr>
        <w:t xml:space="preserve"> </w:t>
      </w:r>
      <w:r>
        <w:rPr>
          <w:lang w:val="en-US"/>
        </w:rPr>
        <w:t xml:space="preserve">as a disorder due to addictive behaviors. Unlike the WHO, the American Psychiatric Association (APA) decided not to include such disorders </w:t>
      </w:r>
      <w:r w:rsidR="00B35DA2">
        <w:rPr>
          <w:lang w:val="en-US"/>
        </w:rPr>
        <w:t xml:space="preserve">for diagnosis </w:t>
      </w:r>
      <w:r>
        <w:rPr>
          <w:lang w:val="en-US"/>
        </w:rPr>
        <w:t xml:space="preserve">in their </w:t>
      </w:r>
      <w:r>
        <w:rPr>
          <w:i/>
          <w:lang w:val="en-US"/>
        </w:rPr>
        <w:t xml:space="preserve">Diagnostic and Statistical Manual of Mental Disorders </w:t>
      </w:r>
      <w:r>
        <w:rPr>
          <w:lang w:val="en-US"/>
        </w:rPr>
        <w:t xml:space="preserve">(DSM-5), </w:t>
      </w:r>
      <w:r w:rsidR="00BF215C">
        <w:rPr>
          <w:lang w:val="en-US"/>
        </w:rPr>
        <w:t xml:space="preserve">because </w:t>
      </w:r>
      <w:r>
        <w:rPr>
          <w:lang w:val="en-US"/>
        </w:rPr>
        <w:t>the literature “suffers from a lack of a standard definition from which to derive prevalence data [and] understanding of the natural histories of cases” (APA 2013, p. 796). “</w:t>
      </w:r>
      <w:r w:rsidR="00B35DA2">
        <w:rPr>
          <w:lang w:val="en-US"/>
        </w:rPr>
        <w:t>I</w:t>
      </w:r>
      <w:r>
        <w:rPr>
          <w:lang w:val="en-US"/>
        </w:rPr>
        <w:t>nternet gaming disorder” was listed in the third section of DSM-5 as needing more research.</w:t>
      </w:r>
    </w:p>
    <w:p w14:paraId="5EADACDF" w14:textId="446EF925" w:rsidR="00AE141E" w:rsidRDefault="00836E32" w:rsidP="00E62B0C">
      <w:pPr>
        <w:ind w:firstLine="720"/>
        <w:jc w:val="both"/>
        <w:rPr>
          <w:lang w:val="en-US"/>
        </w:rPr>
      </w:pPr>
      <w:r>
        <w:rPr>
          <w:lang w:val="en-US"/>
        </w:rPr>
        <w:t xml:space="preserve">Despite “gaming disorder” now being part of the ICD-11, the problems addressed by the APA—how to identify and epidemiologically measure those with clinically significant problems—remain debated. </w:t>
      </w:r>
      <w:r w:rsidR="00B35DA2">
        <w:rPr>
          <w:lang w:val="en-US"/>
        </w:rPr>
        <w:t>Henceforth</w:t>
      </w:r>
      <w:r w:rsidR="000F4A69">
        <w:rPr>
          <w:lang w:val="en-US"/>
        </w:rPr>
        <w:t>, we</w:t>
      </w:r>
      <w:r w:rsidR="000F4A69" w:rsidRPr="00E93843">
        <w:rPr>
          <w:lang w:val="en-US"/>
        </w:rPr>
        <w:t xml:space="preserve"> use </w:t>
      </w:r>
      <w:r w:rsidR="000F4A69" w:rsidRPr="00E93843">
        <w:rPr>
          <w:i/>
          <w:iCs/>
          <w:lang w:val="en-US"/>
        </w:rPr>
        <w:t>gaming-related health problems</w:t>
      </w:r>
      <w:r w:rsidR="000F4A69" w:rsidRPr="00E93843">
        <w:rPr>
          <w:lang w:val="en-US"/>
        </w:rPr>
        <w:t xml:space="preserve"> </w:t>
      </w:r>
      <w:r w:rsidR="00B13196">
        <w:rPr>
          <w:lang w:val="en-US"/>
        </w:rPr>
        <w:t xml:space="preserve">(GRHP) </w:t>
      </w:r>
      <w:r w:rsidR="000F4A69">
        <w:rPr>
          <w:lang w:val="en-US"/>
        </w:rPr>
        <w:t>as a reference to all constructs (</w:t>
      </w:r>
      <w:r w:rsidR="00E863B1">
        <w:rPr>
          <w:lang w:val="en-US"/>
        </w:rPr>
        <w:t>“</w:t>
      </w:r>
      <w:r w:rsidR="000F4A69">
        <w:rPr>
          <w:lang w:val="en-US"/>
        </w:rPr>
        <w:t>videogame addiction</w:t>
      </w:r>
      <w:r w:rsidR="00E863B1">
        <w:rPr>
          <w:lang w:val="en-US"/>
        </w:rPr>
        <w:t>”</w:t>
      </w:r>
      <w:r w:rsidR="002467C8">
        <w:rPr>
          <w:lang w:val="en-US"/>
        </w:rPr>
        <w:t>,</w:t>
      </w:r>
      <w:r w:rsidR="000F4A69">
        <w:rPr>
          <w:lang w:val="en-US"/>
        </w:rPr>
        <w:t xml:space="preserve"> “gaming disorder”</w:t>
      </w:r>
      <w:r w:rsidR="002467C8">
        <w:rPr>
          <w:lang w:val="en-US"/>
        </w:rPr>
        <w:t>,</w:t>
      </w:r>
      <w:r w:rsidR="000F4A69">
        <w:rPr>
          <w:lang w:val="en-US"/>
        </w:rPr>
        <w:t xml:space="preserve"> etc.) that relate to </w:t>
      </w:r>
      <w:r w:rsidR="00171561">
        <w:rPr>
          <w:lang w:val="en-US"/>
        </w:rPr>
        <w:t xml:space="preserve">adverse </w:t>
      </w:r>
      <w:r w:rsidR="000F4A69">
        <w:rPr>
          <w:lang w:val="en-US"/>
        </w:rPr>
        <w:t xml:space="preserve">mental, physical, and social </w:t>
      </w:r>
      <w:r w:rsidR="00BF215C">
        <w:rPr>
          <w:lang w:val="en-US"/>
        </w:rPr>
        <w:t>aspects</w:t>
      </w:r>
      <w:r w:rsidR="00171561">
        <w:rPr>
          <w:lang w:val="en-US"/>
        </w:rPr>
        <w:t xml:space="preserve"> of</w:t>
      </w:r>
      <w:r w:rsidR="000F4A69">
        <w:rPr>
          <w:lang w:val="en-US"/>
        </w:rPr>
        <w:t xml:space="preserve"> gaming. </w:t>
      </w:r>
      <w:r>
        <w:rPr>
          <w:lang w:val="en-US"/>
        </w:rPr>
        <w:t xml:space="preserve">A recent review of English </w:t>
      </w:r>
      <w:r w:rsidR="00B13196">
        <w:rPr>
          <w:lang w:val="en-US"/>
        </w:rPr>
        <w:t xml:space="preserve">GRHP </w:t>
      </w:r>
      <w:r>
        <w:rPr>
          <w:lang w:val="en-US"/>
        </w:rPr>
        <w:t>screening instruments for gaming</w:t>
      </w:r>
      <w:r w:rsidR="00415402">
        <w:rPr>
          <w:lang w:val="en-US"/>
        </w:rPr>
        <w:t xml:space="preserve"> </w:t>
      </w:r>
      <w:r>
        <w:rPr>
          <w:lang w:val="en-US"/>
        </w:rPr>
        <w:t xml:space="preserve">found 32 unique scales (King et al. 2020), and the scholars concluded five of them—including GAS7 (Game Addiction Scale: Lemmens et al. 2009) and IGDT10 (Internet Gaming Disorder Test: Király et al. 2017)—to have high evidential support. </w:t>
      </w:r>
      <w:r w:rsidR="00B35DA2">
        <w:rPr>
          <w:lang w:val="en-US"/>
        </w:rPr>
        <w:t>A</w:t>
      </w:r>
      <w:r>
        <w:rPr>
          <w:lang w:val="en-US"/>
        </w:rPr>
        <w:t xml:space="preserve"> later review found the prevalence rates of these five instruments </w:t>
      </w:r>
      <w:r w:rsidR="009A02B2">
        <w:rPr>
          <w:lang w:val="en-US"/>
        </w:rPr>
        <w:t xml:space="preserve">to </w:t>
      </w:r>
      <w:r>
        <w:rPr>
          <w:lang w:val="en-US"/>
        </w:rPr>
        <w:t>rang</w:t>
      </w:r>
      <w:r w:rsidR="009A02B2">
        <w:rPr>
          <w:lang w:val="en-US"/>
        </w:rPr>
        <w:t>e</w:t>
      </w:r>
      <w:r>
        <w:rPr>
          <w:lang w:val="en-US"/>
        </w:rPr>
        <w:t xml:space="preserve"> from less than 1% to more than 14% </w:t>
      </w:r>
      <w:r w:rsidR="009A02B2">
        <w:rPr>
          <w:lang w:val="en-US"/>
        </w:rPr>
        <w:t xml:space="preserve">in different age groups </w:t>
      </w:r>
      <w:r>
        <w:rPr>
          <w:lang w:val="en-US"/>
        </w:rPr>
        <w:t xml:space="preserve">(Stevens et al. 2020). Despite scholars’ continuous attempts to make sophisticated epidemiological estimations, the fundamental problem remains unsolved: with at least 32 English screening tools that derive from diverse </w:t>
      </w:r>
      <w:r>
        <w:rPr>
          <w:i/>
          <w:lang w:val="en-US"/>
        </w:rPr>
        <w:t>ontological</w:t>
      </w:r>
      <w:r>
        <w:rPr>
          <w:lang w:val="en-US"/>
        </w:rPr>
        <w:t xml:space="preserve"> grounds, what varies may not only be the prevalence rates, but also the </w:t>
      </w:r>
      <w:r w:rsidR="00E863B1">
        <w:rPr>
          <w:lang w:val="en-US"/>
        </w:rPr>
        <w:t xml:space="preserve">GRHP </w:t>
      </w:r>
      <w:r>
        <w:rPr>
          <w:lang w:val="en-US"/>
        </w:rPr>
        <w:t xml:space="preserve">constructs that are </w:t>
      </w:r>
      <w:r>
        <w:rPr>
          <w:i/>
          <w:lang w:val="en-US"/>
        </w:rPr>
        <w:t>being measured</w:t>
      </w:r>
      <w:r w:rsidR="00414C62" w:rsidRPr="00414C62">
        <w:rPr>
          <w:iCs/>
          <w:lang w:val="en-US"/>
        </w:rPr>
        <w:t xml:space="preserve"> (</w:t>
      </w:r>
      <w:r w:rsidR="00414C62">
        <w:rPr>
          <w:iCs/>
          <w:lang w:val="en-US"/>
        </w:rPr>
        <w:t>Appendix 0</w:t>
      </w:r>
      <w:r w:rsidR="00414C62" w:rsidRPr="00414C62">
        <w:rPr>
          <w:iCs/>
          <w:lang w:val="en-US"/>
        </w:rPr>
        <w:t>)</w:t>
      </w:r>
      <w:r>
        <w:rPr>
          <w:lang w:val="en-US"/>
        </w:rPr>
        <w:t xml:space="preserve">. For instance, GAS7 is based </w:t>
      </w:r>
      <w:r w:rsidR="009A02B2">
        <w:rPr>
          <w:lang w:val="en-US"/>
        </w:rPr>
        <w:t xml:space="preserve">on the definition </w:t>
      </w:r>
      <w:r>
        <w:rPr>
          <w:lang w:val="en-US"/>
        </w:rPr>
        <w:t>o</w:t>
      </w:r>
      <w:r w:rsidR="009A02B2">
        <w:rPr>
          <w:lang w:val="en-US"/>
        </w:rPr>
        <w:t>f</w:t>
      </w:r>
      <w:r>
        <w:rPr>
          <w:lang w:val="en-US"/>
        </w:rPr>
        <w:t xml:space="preserve"> </w:t>
      </w:r>
      <w:r>
        <w:rPr>
          <w:i/>
          <w:iCs/>
          <w:lang w:val="en-US"/>
        </w:rPr>
        <w:t>pathological</w:t>
      </w:r>
      <w:r>
        <w:rPr>
          <w:lang w:val="en-US"/>
        </w:rPr>
        <w:t xml:space="preserve"> </w:t>
      </w:r>
      <w:r>
        <w:rPr>
          <w:i/>
          <w:lang w:val="en-US"/>
        </w:rPr>
        <w:t>gambling</w:t>
      </w:r>
      <w:r>
        <w:rPr>
          <w:lang w:val="en-US"/>
        </w:rPr>
        <w:t xml:space="preserve"> in the DSM-IV (seven symptoms four of which must be </w:t>
      </w:r>
      <w:r w:rsidR="009A02B2">
        <w:rPr>
          <w:lang w:val="en-US"/>
        </w:rPr>
        <w:t>present</w:t>
      </w:r>
      <w:r>
        <w:rPr>
          <w:lang w:val="en-US"/>
        </w:rPr>
        <w:t xml:space="preserve">), whereas IGDT10 is based on “internet gaming disorder” in the DSM-5 (nine symptoms five of which must be </w:t>
      </w:r>
      <w:r w:rsidR="009A02B2">
        <w:rPr>
          <w:lang w:val="en-US"/>
        </w:rPr>
        <w:t>present</w:t>
      </w:r>
      <w:r>
        <w:rPr>
          <w:lang w:val="en-US"/>
        </w:rPr>
        <w:t xml:space="preserve">). After “gaming disorder” was confirmed to be included in the ICD-11, new instruments </w:t>
      </w:r>
      <w:r w:rsidR="00B35DA2">
        <w:rPr>
          <w:lang w:val="en-US"/>
        </w:rPr>
        <w:t xml:space="preserve">now </w:t>
      </w:r>
      <w:r>
        <w:rPr>
          <w:lang w:val="en-US"/>
        </w:rPr>
        <w:t xml:space="preserve">rely on the WHO’s ontology: three novel criteria that must all be met for </w:t>
      </w:r>
      <w:r w:rsidR="004871F5">
        <w:rPr>
          <w:lang w:val="en-US"/>
        </w:rPr>
        <w:t xml:space="preserve">establishing </w:t>
      </w:r>
      <w:r>
        <w:rPr>
          <w:lang w:val="en-US"/>
        </w:rPr>
        <w:t>a diagnosis.</w:t>
      </w:r>
      <w:r w:rsidR="00AE141E">
        <w:rPr>
          <w:lang w:val="en-US"/>
        </w:rPr>
        <w:t xml:space="preserve"> </w:t>
      </w:r>
      <w:r w:rsidR="002C533E">
        <w:rPr>
          <w:lang w:val="en-US"/>
        </w:rPr>
        <w:t>T</w:t>
      </w:r>
      <w:r w:rsidR="004871F5">
        <w:rPr>
          <w:lang w:val="en-US"/>
        </w:rPr>
        <w:t>aken together, these</w:t>
      </w:r>
      <w:r w:rsidR="00AE141E">
        <w:rPr>
          <w:lang w:val="en-US"/>
        </w:rPr>
        <w:t xml:space="preserve"> differences reflect </w:t>
      </w:r>
      <w:r w:rsidR="00A56ADF">
        <w:rPr>
          <w:lang w:val="en-US"/>
        </w:rPr>
        <w:t>two</w:t>
      </w:r>
      <w:r w:rsidR="00AE141E">
        <w:rPr>
          <w:lang w:val="en-US"/>
        </w:rPr>
        <w:t xml:space="preserve"> dimensions of</w:t>
      </w:r>
      <w:r w:rsidR="002C533E">
        <w:rPr>
          <w:lang w:val="en-US"/>
        </w:rPr>
        <w:t xml:space="preserve"> ontological diversity</w:t>
      </w:r>
      <w:r w:rsidR="00AE141E">
        <w:rPr>
          <w:lang w:val="en-US"/>
        </w:rPr>
        <w:t>:</w:t>
      </w:r>
    </w:p>
    <w:p w14:paraId="571EBA98" w14:textId="4E02799C" w:rsidR="00AE141E" w:rsidRDefault="00AE141E" w:rsidP="00AE141E">
      <w:pPr>
        <w:jc w:val="both"/>
        <w:rPr>
          <w:lang w:val="en-US"/>
        </w:rPr>
      </w:pPr>
    </w:p>
    <w:p w14:paraId="79A2F77B" w14:textId="7B2D66F1" w:rsidR="00AE141E" w:rsidRDefault="00D90185" w:rsidP="00AE141E">
      <w:pPr>
        <w:pStyle w:val="ListParagraph"/>
        <w:numPr>
          <w:ilvl w:val="0"/>
          <w:numId w:val="3"/>
        </w:numPr>
        <w:jc w:val="both"/>
        <w:rPr>
          <w:lang w:val="en-US"/>
        </w:rPr>
      </w:pPr>
      <w:r w:rsidRPr="0001662A">
        <w:rPr>
          <w:lang w:val="en-US"/>
        </w:rPr>
        <w:t>W</w:t>
      </w:r>
      <w:r w:rsidR="00AE141E" w:rsidRPr="0001662A">
        <w:rPr>
          <w:lang w:val="en-US"/>
        </w:rPr>
        <w:t>hat</w:t>
      </w:r>
      <w:r w:rsidR="00AE141E">
        <w:rPr>
          <w:lang w:val="en-US"/>
        </w:rPr>
        <w:t xml:space="preserve"> criteria define the disorder</w:t>
      </w:r>
      <w:r>
        <w:rPr>
          <w:lang w:val="en-US"/>
        </w:rPr>
        <w:t>?</w:t>
      </w:r>
      <w:r w:rsidR="00AE141E">
        <w:rPr>
          <w:lang w:val="en-US"/>
        </w:rPr>
        <w:t xml:space="preserve"> E.g., </w:t>
      </w:r>
      <w:r w:rsidR="009E408B">
        <w:rPr>
          <w:lang w:val="en-US"/>
        </w:rPr>
        <w:t xml:space="preserve">the </w:t>
      </w:r>
      <w:r w:rsidR="00AE141E">
        <w:rPr>
          <w:lang w:val="en-US"/>
        </w:rPr>
        <w:t xml:space="preserve">DSM-5 and </w:t>
      </w:r>
      <w:r w:rsidR="009E408B">
        <w:rPr>
          <w:lang w:val="en-US"/>
        </w:rPr>
        <w:t xml:space="preserve">the </w:t>
      </w:r>
      <w:r w:rsidR="00AE141E">
        <w:rPr>
          <w:lang w:val="en-US"/>
        </w:rPr>
        <w:t>ICD-11 list different criteria.</w:t>
      </w:r>
    </w:p>
    <w:p w14:paraId="54E53F8C" w14:textId="0C162DDD" w:rsidR="00AE141E" w:rsidRPr="00647A80" w:rsidRDefault="00D90185" w:rsidP="006D2663">
      <w:pPr>
        <w:pStyle w:val="ListParagraph"/>
        <w:numPr>
          <w:ilvl w:val="0"/>
          <w:numId w:val="3"/>
        </w:numPr>
        <w:jc w:val="both"/>
        <w:rPr>
          <w:lang w:val="en-US"/>
        </w:rPr>
      </w:pPr>
      <w:r w:rsidRPr="0001662A">
        <w:rPr>
          <w:lang w:val="en-US"/>
        </w:rPr>
        <w:t>H</w:t>
      </w:r>
      <w:r w:rsidR="00AE141E" w:rsidRPr="0001662A">
        <w:rPr>
          <w:lang w:val="en-US"/>
        </w:rPr>
        <w:t xml:space="preserve">ow </w:t>
      </w:r>
      <w:r w:rsidR="00AE141E">
        <w:rPr>
          <w:lang w:val="en-US"/>
        </w:rPr>
        <w:t>criteria define the disorder</w:t>
      </w:r>
      <w:r>
        <w:rPr>
          <w:lang w:val="en-US"/>
        </w:rPr>
        <w:t>?</w:t>
      </w:r>
      <w:r w:rsidR="00AE141E">
        <w:rPr>
          <w:lang w:val="en-US"/>
        </w:rPr>
        <w:t xml:space="preserve"> E.g.,</w:t>
      </w:r>
      <w:r>
        <w:rPr>
          <w:lang w:val="en-US"/>
        </w:rPr>
        <w:t xml:space="preserve"> </w:t>
      </w:r>
      <w:r w:rsidR="009E408B">
        <w:rPr>
          <w:lang w:val="en-US"/>
        </w:rPr>
        <w:t xml:space="preserve">the </w:t>
      </w:r>
      <w:r>
        <w:rPr>
          <w:lang w:val="en-US"/>
        </w:rPr>
        <w:t xml:space="preserve">DSM-5 disorder is diagnosable when </w:t>
      </w:r>
      <w:r w:rsidR="004A3481">
        <w:rPr>
          <w:lang w:val="en-US"/>
        </w:rPr>
        <w:t>some</w:t>
      </w:r>
      <w:r>
        <w:rPr>
          <w:lang w:val="en-US"/>
        </w:rPr>
        <w:t xml:space="preserve"> criteria are met</w:t>
      </w:r>
      <w:r w:rsidRPr="006D2663">
        <w:rPr>
          <w:lang w:val="en-US"/>
        </w:rPr>
        <w:t>, but the ICD-11 demands meeting all criteria.</w:t>
      </w:r>
    </w:p>
    <w:p w14:paraId="3EFE53BE" w14:textId="77777777" w:rsidR="00AE141E" w:rsidRDefault="00AE141E" w:rsidP="00CC6CFC">
      <w:pPr>
        <w:ind w:firstLine="720"/>
        <w:jc w:val="both"/>
        <w:rPr>
          <w:lang w:val="en-US"/>
        </w:rPr>
      </w:pPr>
    </w:p>
    <w:p w14:paraId="60DF6B62" w14:textId="76F20907" w:rsidR="00CE6598" w:rsidRDefault="00B35DA2" w:rsidP="006D2663">
      <w:pPr>
        <w:jc w:val="both"/>
        <w:rPr>
          <w:lang w:val="en-US"/>
        </w:rPr>
      </w:pPr>
      <w:r>
        <w:rPr>
          <w:lang w:val="en-US"/>
        </w:rPr>
        <w:t>P</w:t>
      </w:r>
      <w:r w:rsidR="00DB1E9C">
        <w:rPr>
          <w:lang w:val="en-US"/>
        </w:rPr>
        <w:t xml:space="preserve">revious research has found many </w:t>
      </w:r>
      <w:r w:rsidR="00E93843">
        <w:rPr>
          <w:lang w:val="en-US"/>
        </w:rPr>
        <w:t xml:space="preserve">participants who </w:t>
      </w:r>
      <w:r w:rsidR="00DB1E9C">
        <w:rPr>
          <w:lang w:val="en-US"/>
        </w:rPr>
        <w:t>expres</w:t>
      </w:r>
      <w:r w:rsidR="00E93843">
        <w:rPr>
          <w:lang w:val="en-US"/>
        </w:rPr>
        <w:t>s</w:t>
      </w:r>
      <w:r w:rsidR="00DB1E9C">
        <w:rPr>
          <w:lang w:val="en-US"/>
        </w:rPr>
        <w:t xml:space="preserve"> </w:t>
      </w:r>
      <w:r w:rsidR="00647A80">
        <w:rPr>
          <w:lang w:val="en-US"/>
        </w:rPr>
        <w:t xml:space="preserve">GRHP symptoms based on </w:t>
      </w:r>
      <w:r w:rsidR="00DB1E9C">
        <w:rPr>
          <w:lang w:val="en-US"/>
        </w:rPr>
        <w:t xml:space="preserve">the DSM-5 </w:t>
      </w:r>
      <w:r w:rsidR="004871F5">
        <w:rPr>
          <w:lang w:val="en-US"/>
        </w:rPr>
        <w:t xml:space="preserve">not </w:t>
      </w:r>
      <w:r w:rsidR="00DB1E9C">
        <w:rPr>
          <w:lang w:val="en-US"/>
        </w:rPr>
        <w:t xml:space="preserve">to </w:t>
      </w:r>
      <w:r w:rsidR="004871F5">
        <w:rPr>
          <w:lang w:val="en-US"/>
        </w:rPr>
        <w:t>have</w:t>
      </w:r>
      <w:r w:rsidR="00DB1E9C">
        <w:rPr>
          <w:lang w:val="en-US"/>
        </w:rPr>
        <w:t xml:space="preserve"> </w:t>
      </w:r>
      <w:r>
        <w:rPr>
          <w:lang w:val="en-US"/>
        </w:rPr>
        <w:t>general</w:t>
      </w:r>
      <w:r w:rsidR="008F7B2C">
        <w:rPr>
          <w:lang w:val="en-US"/>
        </w:rPr>
        <w:t xml:space="preserve"> </w:t>
      </w:r>
      <w:r w:rsidR="00CC6CFC">
        <w:rPr>
          <w:lang w:val="en-US"/>
        </w:rPr>
        <w:t xml:space="preserve">health problems (Colder Carras &amp; </w:t>
      </w:r>
      <w:r w:rsidR="00CC6CFC" w:rsidRPr="00CC6CFC">
        <w:rPr>
          <w:lang w:val="en-GB"/>
        </w:rPr>
        <w:t>Kardefelt-Winther 2018</w:t>
      </w:r>
      <w:r w:rsidR="00CC6CFC">
        <w:rPr>
          <w:lang w:val="en-US"/>
        </w:rPr>
        <w:t xml:space="preserve">), whereas </w:t>
      </w:r>
      <w:r w:rsidR="008F7B2C">
        <w:rPr>
          <w:lang w:val="en-US"/>
        </w:rPr>
        <w:t>some scholars</w:t>
      </w:r>
      <w:r w:rsidR="00CC6CFC">
        <w:rPr>
          <w:lang w:val="en-US"/>
        </w:rPr>
        <w:t xml:space="preserve"> further distinguish between the </w:t>
      </w:r>
      <w:r w:rsidR="00CC6CFC" w:rsidRPr="00E56F93">
        <w:rPr>
          <w:i/>
          <w:iCs/>
          <w:lang w:val="en-US"/>
        </w:rPr>
        <w:t>degrees</w:t>
      </w:r>
      <w:r w:rsidR="00CC6CFC">
        <w:rPr>
          <w:lang w:val="en-US"/>
        </w:rPr>
        <w:t xml:space="preserve"> to which </w:t>
      </w:r>
      <w:r w:rsidR="006D2663">
        <w:rPr>
          <w:lang w:val="en-US"/>
        </w:rPr>
        <w:t>criteria</w:t>
      </w:r>
      <w:r w:rsidR="004871F5">
        <w:rPr>
          <w:lang w:val="en-US"/>
        </w:rPr>
        <w:t>, symptoms, and health problems</w:t>
      </w:r>
      <w:r w:rsidR="00CC6CFC">
        <w:rPr>
          <w:lang w:val="en-US"/>
        </w:rPr>
        <w:t xml:space="preserve"> manifest (</w:t>
      </w:r>
      <w:r w:rsidR="00CC6CFC" w:rsidRPr="00CC6CFC">
        <w:rPr>
          <w:lang w:val="en-GB"/>
        </w:rPr>
        <w:t xml:space="preserve">Myrseth </w:t>
      </w:r>
      <w:r w:rsidR="00CC6CFC">
        <w:rPr>
          <w:lang w:val="en-GB"/>
        </w:rPr>
        <w:t>&amp;</w:t>
      </w:r>
      <w:r w:rsidR="00CC6CFC" w:rsidRPr="00CC6CFC">
        <w:rPr>
          <w:lang w:val="en-GB"/>
        </w:rPr>
        <w:t xml:space="preserve"> </w:t>
      </w:r>
      <w:proofErr w:type="spellStart"/>
      <w:r w:rsidR="00CC6CFC" w:rsidRPr="00CC6CFC">
        <w:rPr>
          <w:lang w:val="en-GB"/>
        </w:rPr>
        <w:t>Notelaers</w:t>
      </w:r>
      <w:proofErr w:type="spellEnd"/>
      <w:r w:rsidR="00CC6CFC" w:rsidRPr="00CC6CFC">
        <w:rPr>
          <w:lang w:val="en-GB"/>
        </w:rPr>
        <w:t xml:space="preserve"> 2018</w:t>
      </w:r>
      <w:r w:rsidR="00CC6CFC">
        <w:rPr>
          <w:lang w:val="en-US"/>
        </w:rPr>
        <w:t xml:space="preserve">). </w:t>
      </w:r>
      <w:r w:rsidR="00E56F93">
        <w:rPr>
          <w:lang w:val="en-US"/>
        </w:rPr>
        <w:t xml:space="preserve">Such </w:t>
      </w:r>
      <w:r w:rsidR="00CC6CFC">
        <w:rPr>
          <w:lang w:val="en-US"/>
        </w:rPr>
        <w:t xml:space="preserve">investigations </w:t>
      </w:r>
      <w:r w:rsidR="00E93843">
        <w:rPr>
          <w:lang w:val="en-US"/>
        </w:rPr>
        <w:t>imply</w:t>
      </w:r>
      <w:r w:rsidR="00CC6CFC">
        <w:rPr>
          <w:lang w:val="en-US"/>
        </w:rPr>
        <w:t xml:space="preserve"> that </w:t>
      </w:r>
      <w:r>
        <w:rPr>
          <w:lang w:val="en-US"/>
        </w:rPr>
        <w:t xml:space="preserve">it could be useful to distinguish </w:t>
      </w:r>
      <w:r w:rsidR="00CC6CFC">
        <w:rPr>
          <w:lang w:val="en-US"/>
        </w:rPr>
        <w:t xml:space="preserve">more </w:t>
      </w:r>
      <w:r w:rsidR="00E93843">
        <w:rPr>
          <w:lang w:val="en-US"/>
        </w:rPr>
        <w:t xml:space="preserve">than one (not necessarily diagnostic) </w:t>
      </w:r>
      <w:r w:rsidR="00E553FA">
        <w:rPr>
          <w:lang w:val="en-US"/>
        </w:rPr>
        <w:t xml:space="preserve">GRHP </w:t>
      </w:r>
      <w:r w:rsidR="008C23A3">
        <w:rPr>
          <w:lang w:val="en-US"/>
        </w:rPr>
        <w:t>construct</w:t>
      </w:r>
      <w:r w:rsidR="00836E32">
        <w:rPr>
          <w:lang w:val="en-US"/>
        </w:rPr>
        <w:t xml:space="preserve">. </w:t>
      </w:r>
      <w:r w:rsidR="00D64D61">
        <w:rPr>
          <w:lang w:val="en-US"/>
        </w:rPr>
        <w:t>Accordingly, o</w:t>
      </w:r>
      <w:r w:rsidR="00836E32">
        <w:rPr>
          <w:lang w:val="en-US"/>
        </w:rPr>
        <w:t>ur research question is:</w:t>
      </w:r>
    </w:p>
    <w:p w14:paraId="76278343" w14:textId="77777777" w:rsidR="00CE6598" w:rsidRDefault="00836E32">
      <w:pPr>
        <w:jc w:val="both"/>
        <w:rPr>
          <w:lang w:val="en-US"/>
        </w:rPr>
      </w:pPr>
      <w:r>
        <w:rPr>
          <w:lang w:val="en-US"/>
        </w:rPr>
        <w:t xml:space="preserve"> </w:t>
      </w:r>
    </w:p>
    <w:p w14:paraId="64E39A6C" w14:textId="7E4EF355" w:rsidR="00CE6598" w:rsidRDefault="00836E32">
      <w:pPr>
        <w:ind w:left="560"/>
        <w:jc w:val="both"/>
        <w:rPr>
          <w:lang w:val="en-US"/>
        </w:rPr>
      </w:pPr>
      <w:r>
        <w:rPr>
          <w:b/>
          <w:bCs/>
          <w:lang w:val="en-US"/>
        </w:rPr>
        <w:t>RQ</w:t>
      </w:r>
      <w:r>
        <w:rPr>
          <w:lang w:val="en-US"/>
        </w:rPr>
        <w:t xml:space="preserve">: How do screening instruments that derive from different ontological understandings differ in identifying </w:t>
      </w:r>
      <w:r w:rsidR="00414C62">
        <w:rPr>
          <w:lang w:val="en-US"/>
        </w:rPr>
        <w:t>GRHP</w:t>
      </w:r>
      <w:r w:rsidR="008C23A3">
        <w:rPr>
          <w:lang w:val="en-US"/>
        </w:rPr>
        <w:t xml:space="preserve"> </w:t>
      </w:r>
      <w:r>
        <w:rPr>
          <w:lang w:val="en-US"/>
        </w:rPr>
        <w:t>groups?</w:t>
      </w:r>
    </w:p>
    <w:p w14:paraId="0AA80F75" w14:textId="77777777" w:rsidR="00CE6598" w:rsidRDefault="00836E32">
      <w:pPr>
        <w:jc w:val="both"/>
        <w:rPr>
          <w:lang w:val="en-US"/>
        </w:rPr>
      </w:pPr>
      <w:r>
        <w:rPr>
          <w:lang w:val="en-US"/>
        </w:rPr>
        <w:t xml:space="preserve"> </w:t>
      </w:r>
    </w:p>
    <w:p w14:paraId="6C65B665" w14:textId="7E020C10" w:rsidR="00CE6598" w:rsidRDefault="00836E32">
      <w:pPr>
        <w:jc w:val="both"/>
        <w:rPr>
          <w:lang w:val="en-US"/>
        </w:rPr>
      </w:pPr>
      <w:r>
        <w:rPr>
          <w:lang w:val="en-US"/>
        </w:rPr>
        <w:t xml:space="preserve">The research question is investigated from three perspectives—prevalence, </w:t>
      </w:r>
      <w:r w:rsidR="006D2663">
        <w:rPr>
          <w:lang w:val="en-US"/>
        </w:rPr>
        <w:t>overlap</w:t>
      </w:r>
      <w:r>
        <w:rPr>
          <w:lang w:val="en-US"/>
        </w:rPr>
        <w:t xml:space="preserve">, and health—which form three sub research questions. </w:t>
      </w:r>
    </w:p>
    <w:p w14:paraId="1513380E" w14:textId="77777777" w:rsidR="00CE6598" w:rsidRDefault="00836E32">
      <w:pPr>
        <w:jc w:val="both"/>
        <w:rPr>
          <w:lang w:val="en-US"/>
        </w:rPr>
      </w:pPr>
      <w:r>
        <w:rPr>
          <w:lang w:val="en-US"/>
        </w:rPr>
        <w:t xml:space="preserve"> </w:t>
      </w:r>
    </w:p>
    <w:p w14:paraId="1D5A3233" w14:textId="7626302F" w:rsidR="00CE6598" w:rsidRDefault="00836E32">
      <w:pPr>
        <w:ind w:left="560"/>
        <w:jc w:val="both"/>
        <w:rPr>
          <w:lang w:val="en-US"/>
        </w:rPr>
      </w:pPr>
      <w:r>
        <w:rPr>
          <w:b/>
          <w:bCs/>
          <w:lang w:val="en-US"/>
        </w:rPr>
        <w:lastRenderedPageBreak/>
        <w:t>RQ-A</w:t>
      </w:r>
      <w:r>
        <w:rPr>
          <w:lang w:val="en-US"/>
        </w:rPr>
        <w:t xml:space="preserve">: How do </w:t>
      </w:r>
      <w:r w:rsidR="00647A80">
        <w:rPr>
          <w:lang w:val="en-US"/>
        </w:rPr>
        <w:t xml:space="preserve">GRHP </w:t>
      </w:r>
      <w:r>
        <w:rPr>
          <w:lang w:val="en-US"/>
        </w:rPr>
        <w:t xml:space="preserve">screening instruments that derive from separate ontological understandings differ in </w:t>
      </w:r>
      <w:r>
        <w:rPr>
          <w:i/>
          <w:lang w:val="en-US"/>
        </w:rPr>
        <w:t>their prevalence rates</w:t>
      </w:r>
      <w:r w:rsidR="005E1398">
        <w:rPr>
          <w:i/>
          <w:lang w:val="en-US"/>
        </w:rPr>
        <w:t xml:space="preserve"> (how many)</w:t>
      </w:r>
      <w:r>
        <w:rPr>
          <w:lang w:val="en-US"/>
        </w:rPr>
        <w:t>?</w:t>
      </w:r>
    </w:p>
    <w:p w14:paraId="2844A273" w14:textId="1B6C09A9" w:rsidR="00CE6598" w:rsidRDefault="00836E32">
      <w:pPr>
        <w:ind w:left="560"/>
        <w:jc w:val="both"/>
        <w:rPr>
          <w:lang w:val="en-US"/>
        </w:rPr>
      </w:pPr>
      <w:r>
        <w:rPr>
          <w:b/>
          <w:bCs/>
          <w:lang w:val="en-US"/>
        </w:rPr>
        <w:t>RQ-B</w:t>
      </w:r>
      <w:r>
        <w:rPr>
          <w:lang w:val="en-US"/>
        </w:rPr>
        <w:t xml:space="preserve">: How do </w:t>
      </w:r>
      <w:r w:rsidR="00647A80">
        <w:rPr>
          <w:lang w:val="en-US"/>
        </w:rPr>
        <w:t xml:space="preserve">GRHP </w:t>
      </w:r>
      <w:r>
        <w:rPr>
          <w:lang w:val="en-US"/>
        </w:rPr>
        <w:t xml:space="preserve">screening instruments that derive from separate ontological understandings differ in </w:t>
      </w:r>
      <w:r>
        <w:rPr>
          <w:i/>
          <w:lang w:val="en-US"/>
        </w:rPr>
        <w:t>who they identify</w:t>
      </w:r>
      <w:r w:rsidR="005E1398">
        <w:rPr>
          <w:i/>
          <w:lang w:val="en-US"/>
        </w:rPr>
        <w:t xml:space="preserve"> (what characteristics)</w:t>
      </w:r>
      <w:r>
        <w:rPr>
          <w:lang w:val="en-US"/>
        </w:rPr>
        <w:t xml:space="preserve">? </w:t>
      </w:r>
    </w:p>
    <w:p w14:paraId="6C18DA09" w14:textId="48DCD81A" w:rsidR="00CE6598" w:rsidRDefault="00836E32">
      <w:pPr>
        <w:ind w:left="560"/>
        <w:jc w:val="both"/>
        <w:rPr>
          <w:lang w:val="en-US"/>
        </w:rPr>
      </w:pPr>
      <w:r>
        <w:rPr>
          <w:b/>
          <w:bCs/>
          <w:lang w:val="en-US"/>
        </w:rPr>
        <w:t>RQ-C</w:t>
      </w:r>
      <w:r>
        <w:rPr>
          <w:lang w:val="en-US"/>
        </w:rPr>
        <w:t xml:space="preserve">: How do </w:t>
      </w:r>
      <w:r w:rsidR="00647A80">
        <w:rPr>
          <w:lang w:val="en-US"/>
        </w:rPr>
        <w:t xml:space="preserve">GRHP </w:t>
      </w:r>
      <w:r>
        <w:rPr>
          <w:lang w:val="en-US"/>
        </w:rPr>
        <w:t>screening instruments that derive from separate ontological understandings differ in</w:t>
      </w:r>
      <w:r>
        <w:rPr>
          <w:i/>
          <w:lang w:val="en-US"/>
        </w:rPr>
        <w:t xml:space="preserve"> </w:t>
      </w:r>
      <w:r w:rsidRPr="001C75DA">
        <w:rPr>
          <w:iCs/>
          <w:lang w:val="en-US"/>
        </w:rPr>
        <w:t>the</w:t>
      </w:r>
      <w:r>
        <w:rPr>
          <w:i/>
          <w:lang w:val="en-US"/>
        </w:rPr>
        <w:t xml:space="preserve"> health of their identified groups</w:t>
      </w:r>
      <w:r w:rsidR="005E1398">
        <w:rPr>
          <w:i/>
          <w:lang w:val="en-US"/>
        </w:rPr>
        <w:t xml:space="preserve"> </w:t>
      </w:r>
      <w:r w:rsidR="005E1398" w:rsidRPr="00AF14E3">
        <w:rPr>
          <w:i/>
          <w:iCs/>
          <w:lang w:val="en-US"/>
        </w:rPr>
        <w:t>(how healthy)</w:t>
      </w:r>
      <w:r>
        <w:rPr>
          <w:lang w:val="en-US"/>
        </w:rPr>
        <w:t>?</w:t>
      </w:r>
    </w:p>
    <w:p w14:paraId="10717752" w14:textId="77777777" w:rsidR="00CE6598" w:rsidRDefault="00CE6598">
      <w:pPr>
        <w:jc w:val="both"/>
        <w:rPr>
          <w:lang w:val="en-US"/>
        </w:rPr>
      </w:pPr>
    </w:p>
    <w:p w14:paraId="6BFB3591" w14:textId="763D2D73" w:rsidR="00CE6598" w:rsidRDefault="00836E32">
      <w:pPr>
        <w:jc w:val="both"/>
        <w:rPr>
          <w:lang w:val="en-US"/>
        </w:rPr>
      </w:pPr>
      <w:r>
        <w:rPr>
          <w:lang w:val="en-US"/>
        </w:rPr>
        <w:t xml:space="preserve">To formulate </w:t>
      </w:r>
      <w:r w:rsidR="009E408B">
        <w:rPr>
          <w:lang w:val="en-US"/>
        </w:rPr>
        <w:t xml:space="preserve">informed </w:t>
      </w:r>
      <w:r>
        <w:rPr>
          <w:lang w:val="en-US"/>
        </w:rPr>
        <w:t>hypotheses, we carried out a pilot (</w:t>
      </w:r>
      <w:r w:rsidR="004A3481">
        <w:rPr>
          <w:i/>
          <w:lang w:val="en-US"/>
        </w:rPr>
        <w:t>N</w:t>
      </w:r>
      <w:r>
        <w:rPr>
          <w:lang w:val="en-US"/>
        </w:rPr>
        <w:t xml:space="preserve">=1000) by using four </w:t>
      </w:r>
      <w:r w:rsidR="005E1398">
        <w:rPr>
          <w:lang w:val="en-US"/>
        </w:rPr>
        <w:t xml:space="preserve">central </w:t>
      </w:r>
      <w:r w:rsidR="005E6A56">
        <w:rPr>
          <w:lang w:val="en-US"/>
        </w:rPr>
        <w:t xml:space="preserve">GRHP </w:t>
      </w:r>
      <w:r>
        <w:rPr>
          <w:lang w:val="en-US"/>
        </w:rPr>
        <w:t>screening instruments</w:t>
      </w:r>
      <w:r w:rsidR="004212A5">
        <w:rPr>
          <w:lang w:val="en-US"/>
        </w:rPr>
        <w:t xml:space="preserve"> </w:t>
      </w:r>
      <w:r w:rsidR="004A3481">
        <w:rPr>
          <w:lang w:val="en-US"/>
        </w:rPr>
        <w:t>with</w:t>
      </w:r>
      <w:r>
        <w:rPr>
          <w:lang w:val="en-US"/>
        </w:rPr>
        <w:t xml:space="preserve"> separate ontological foundations.</w:t>
      </w:r>
    </w:p>
    <w:p w14:paraId="1F42DF08" w14:textId="77777777" w:rsidR="00CE6598" w:rsidRDefault="00836E32">
      <w:pPr>
        <w:jc w:val="both"/>
        <w:rPr>
          <w:lang w:val="en-US"/>
        </w:rPr>
      </w:pPr>
      <w:r>
        <w:rPr>
          <w:lang w:val="en-US"/>
        </w:rPr>
        <w:t xml:space="preserve"> </w:t>
      </w:r>
    </w:p>
    <w:p w14:paraId="06FC6202" w14:textId="77777777" w:rsidR="00A1097D" w:rsidRDefault="00A1097D" w:rsidP="00AF14E3">
      <w:pPr>
        <w:jc w:val="both"/>
        <w:rPr>
          <w:ins w:id="6" w:author="Karhulahti, Veli-Matti" w:date="2022-01-17T22:12:00Z"/>
          <w:szCs w:val="20"/>
          <w:lang w:val="en-US"/>
        </w:rPr>
      </w:pPr>
      <w:ins w:id="7" w:author="Karhulahti, Veli-Matti" w:date="2022-01-17T22:12:00Z">
        <w:r>
          <w:rPr>
            <w:szCs w:val="20"/>
            <w:lang w:val="en-US"/>
          </w:rPr>
          <w:t>Game Addiction Scale (</w:t>
        </w:r>
      </w:ins>
      <w:r w:rsidR="00836E32" w:rsidRPr="005E6A56">
        <w:rPr>
          <w:szCs w:val="20"/>
          <w:lang w:val="en-US"/>
        </w:rPr>
        <w:t>GAS7</w:t>
      </w:r>
      <w:ins w:id="8" w:author="Karhulahti, Veli-Matti" w:date="2022-01-17T22:12:00Z">
        <w:r>
          <w:rPr>
            <w:szCs w:val="20"/>
            <w:lang w:val="en-US"/>
          </w:rPr>
          <w:t>)</w:t>
        </w:r>
      </w:ins>
      <w:r w:rsidR="00836E32" w:rsidRPr="005E6A56">
        <w:rPr>
          <w:szCs w:val="20"/>
          <w:lang w:val="en-US"/>
        </w:rPr>
        <w:t xml:space="preserve"> (Lemmens et al. 2009)</w:t>
      </w:r>
      <w:del w:id="9" w:author="Karhulahti, Veli-Matti" w:date="2022-01-17T22:30:00Z">
        <w:r w:rsidR="00836E32" w:rsidRPr="005E6A56" w:rsidDel="00CD2B37">
          <w:rPr>
            <w:szCs w:val="20"/>
            <w:lang w:val="en-US"/>
          </w:rPr>
          <w:delText>:</w:delText>
        </w:r>
      </w:del>
      <w:r w:rsidR="00836E32" w:rsidRPr="005E6A56">
        <w:rPr>
          <w:szCs w:val="20"/>
          <w:lang w:val="en-US"/>
        </w:rPr>
        <w:t xml:space="preserve"> </w:t>
      </w:r>
    </w:p>
    <w:p w14:paraId="63730A59" w14:textId="3409C35E" w:rsidR="00CE6598" w:rsidRPr="00CD2B37" w:rsidRDefault="00836E32" w:rsidP="00CD2B37">
      <w:pPr>
        <w:pStyle w:val="ListParagraph"/>
        <w:numPr>
          <w:ilvl w:val="0"/>
          <w:numId w:val="7"/>
        </w:numPr>
        <w:jc w:val="both"/>
        <w:rPr>
          <w:szCs w:val="20"/>
          <w:lang w:val="en-US"/>
        </w:rPr>
        <w:pPrChange w:id="10" w:author="Karhulahti, Veli-Matti" w:date="2022-01-17T22:30:00Z">
          <w:pPr>
            <w:ind w:firstLine="720"/>
            <w:jc w:val="both"/>
          </w:pPr>
        </w:pPrChange>
      </w:pPr>
      <w:r w:rsidRPr="00CD2B37">
        <w:rPr>
          <w:szCs w:val="20"/>
          <w:lang w:val="en-US"/>
        </w:rPr>
        <w:t>based on pathological gambling</w:t>
      </w:r>
      <w:r w:rsidR="005E1398" w:rsidRPr="00CD2B37">
        <w:rPr>
          <w:szCs w:val="20"/>
          <w:lang w:val="en-US"/>
        </w:rPr>
        <w:t>, as defined</w:t>
      </w:r>
      <w:r w:rsidRPr="00CD2B37">
        <w:rPr>
          <w:szCs w:val="20"/>
          <w:lang w:val="en-US"/>
        </w:rPr>
        <w:t xml:space="preserve"> in the DSM-IV.</w:t>
      </w:r>
    </w:p>
    <w:p w14:paraId="15DA52B2" w14:textId="77777777" w:rsidR="00A1097D" w:rsidRDefault="00A1097D" w:rsidP="00AF14E3">
      <w:pPr>
        <w:jc w:val="both"/>
        <w:rPr>
          <w:ins w:id="11" w:author="Karhulahti, Veli-Matti" w:date="2022-01-17T22:13:00Z"/>
          <w:szCs w:val="20"/>
          <w:lang w:val="en-US"/>
        </w:rPr>
      </w:pPr>
      <w:ins w:id="12" w:author="Karhulahti, Veli-Matti" w:date="2022-01-17T22:13:00Z">
        <w:r>
          <w:rPr>
            <w:szCs w:val="20"/>
            <w:lang w:val="en-US"/>
          </w:rPr>
          <w:t>Internet Gaming Disorder Test (</w:t>
        </w:r>
      </w:ins>
      <w:r w:rsidR="00836E32" w:rsidRPr="005E6A56">
        <w:rPr>
          <w:szCs w:val="20"/>
          <w:lang w:val="en-US"/>
        </w:rPr>
        <w:t>IGDT10</w:t>
      </w:r>
      <w:ins w:id="13" w:author="Karhulahti, Veli-Matti" w:date="2022-01-17T22:13:00Z">
        <w:r>
          <w:rPr>
            <w:szCs w:val="20"/>
            <w:lang w:val="en-US"/>
          </w:rPr>
          <w:t>)</w:t>
        </w:r>
      </w:ins>
      <w:r w:rsidR="00836E32" w:rsidRPr="005E6A56">
        <w:rPr>
          <w:szCs w:val="20"/>
          <w:lang w:val="en-US"/>
        </w:rPr>
        <w:t xml:space="preserve"> (Király et al. 2017)</w:t>
      </w:r>
      <w:del w:id="14" w:author="Karhulahti, Veli-Matti" w:date="2022-01-17T22:31:00Z">
        <w:r w:rsidR="00836E32" w:rsidRPr="005E6A56" w:rsidDel="00CD2B37">
          <w:rPr>
            <w:szCs w:val="20"/>
            <w:lang w:val="en-US"/>
          </w:rPr>
          <w:delText>:</w:delText>
        </w:r>
      </w:del>
      <w:r w:rsidR="00836E32" w:rsidRPr="005E6A56">
        <w:rPr>
          <w:szCs w:val="20"/>
          <w:lang w:val="en-US"/>
        </w:rPr>
        <w:t xml:space="preserve"> </w:t>
      </w:r>
    </w:p>
    <w:p w14:paraId="4F60ED5F" w14:textId="264682FD" w:rsidR="00CE6598" w:rsidRPr="00CD2B37" w:rsidRDefault="00836E32" w:rsidP="00CD2B37">
      <w:pPr>
        <w:pStyle w:val="ListParagraph"/>
        <w:numPr>
          <w:ilvl w:val="0"/>
          <w:numId w:val="7"/>
        </w:numPr>
        <w:jc w:val="both"/>
        <w:rPr>
          <w:szCs w:val="20"/>
          <w:lang w:val="en-US"/>
        </w:rPr>
        <w:pPrChange w:id="15" w:author="Karhulahti, Veli-Matti" w:date="2022-01-17T22:30:00Z">
          <w:pPr>
            <w:ind w:firstLine="720"/>
            <w:jc w:val="both"/>
          </w:pPr>
        </w:pPrChange>
      </w:pPr>
      <w:r w:rsidRPr="00CD2B37">
        <w:rPr>
          <w:szCs w:val="20"/>
          <w:lang w:val="en-US"/>
        </w:rPr>
        <w:t>based on “internet gaming disorder”</w:t>
      </w:r>
      <w:r w:rsidR="002467C8" w:rsidRPr="00CD2B37">
        <w:rPr>
          <w:szCs w:val="20"/>
          <w:lang w:val="en-US"/>
        </w:rPr>
        <w:t>,</w:t>
      </w:r>
      <w:r w:rsidR="005E1398" w:rsidRPr="00CD2B37">
        <w:rPr>
          <w:szCs w:val="20"/>
          <w:lang w:val="en-US"/>
        </w:rPr>
        <w:t xml:space="preserve"> as defined</w:t>
      </w:r>
      <w:r w:rsidRPr="00CD2B37">
        <w:rPr>
          <w:szCs w:val="20"/>
          <w:lang w:val="en-US"/>
        </w:rPr>
        <w:t xml:space="preserve"> in the DSM-5.</w:t>
      </w:r>
    </w:p>
    <w:p w14:paraId="129FC57B" w14:textId="66BE6B94" w:rsidR="00DF432B" w:rsidRDefault="00A1097D" w:rsidP="00AF14E3">
      <w:pPr>
        <w:jc w:val="both"/>
        <w:rPr>
          <w:ins w:id="16" w:author="Karhulahti, Veli-Matti" w:date="2022-01-17T22:14:00Z"/>
          <w:szCs w:val="20"/>
          <w:lang w:val="en-US"/>
        </w:rPr>
      </w:pPr>
      <w:ins w:id="17" w:author="Karhulahti, Veli-Matti" w:date="2022-01-17T22:13:00Z">
        <w:r>
          <w:rPr>
            <w:szCs w:val="20"/>
            <w:lang w:val="en-US"/>
          </w:rPr>
          <w:t xml:space="preserve">Gaming </w:t>
        </w:r>
      </w:ins>
      <w:ins w:id="18" w:author="Karhulahti, Veli-Matti" w:date="2022-01-17T22:23:00Z">
        <w:r w:rsidR="00184873">
          <w:rPr>
            <w:szCs w:val="20"/>
            <w:lang w:val="en-US"/>
          </w:rPr>
          <w:t>Disorder</w:t>
        </w:r>
      </w:ins>
      <w:ins w:id="19" w:author="Karhulahti, Veli-Matti" w:date="2022-01-17T22:13:00Z">
        <w:r>
          <w:rPr>
            <w:szCs w:val="20"/>
            <w:lang w:val="en-US"/>
          </w:rPr>
          <w:t xml:space="preserve"> Test </w:t>
        </w:r>
      </w:ins>
      <w:r w:rsidR="00836E32" w:rsidRPr="005E6A56">
        <w:rPr>
          <w:szCs w:val="20"/>
          <w:lang w:val="en-US"/>
        </w:rPr>
        <w:t>GDT (Pontes et al. 2019)</w:t>
      </w:r>
      <w:del w:id="20" w:author="Karhulahti, Veli-Matti" w:date="2022-01-17T22:31:00Z">
        <w:r w:rsidR="00836E32" w:rsidRPr="005E6A56" w:rsidDel="00CD2B37">
          <w:rPr>
            <w:szCs w:val="20"/>
            <w:lang w:val="en-US"/>
          </w:rPr>
          <w:delText>:</w:delText>
        </w:r>
      </w:del>
      <w:r w:rsidR="00836E32" w:rsidRPr="005E6A56">
        <w:rPr>
          <w:szCs w:val="20"/>
          <w:lang w:val="en-US"/>
        </w:rPr>
        <w:t xml:space="preserve"> </w:t>
      </w:r>
    </w:p>
    <w:p w14:paraId="547F24B6" w14:textId="5E5CFFA2" w:rsidR="00CE6598" w:rsidRPr="00CD2B37" w:rsidRDefault="00836E32" w:rsidP="00CD2B37">
      <w:pPr>
        <w:pStyle w:val="ListParagraph"/>
        <w:numPr>
          <w:ilvl w:val="0"/>
          <w:numId w:val="7"/>
        </w:numPr>
        <w:jc w:val="both"/>
        <w:rPr>
          <w:szCs w:val="20"/>
          <w:lang w:val="en-US"/>
        </w:rPr>
        <w:pPrChange w:id="21" w:author="Karhulahti, Veli-Matti" w:date="2022-01-17T22:30:00Z">
          <w:pPr>
            <w:ind w:firstLine="720"/>
            <w:jc w:val="both"/>
          </w:pPr>
        </w:pPrChange>
      </w:pPr>
      <w:r w:rsidRPr="00CD2B37">
        <w:rPr>
          <w:szCs w:val="20"/>
          <w:lang w:val="en-US"/>
        </w:rPr>
        <w:t>based on “gaming disorder”</w:t>
      </w:r>
      <w:r w:rsidR="002467C8" w:rsidRPr="00CD2B37">
        <w:rPr>
          <w:szCs w:val="20"/>
          <w:lang w:val="en-US"/>
        </w:rPr>
        <w:t>,</w:t>
      </w:r>
      <w:r w:rsidR="005E1398" w:rsidRPr="00CD2B37">
        <w:rPr>
          <w:szCs w:val="20"/>
          <w:lang w:val="en-US"/>
        </w:rPr>
        <w:t xml:space="preserve"> as defined</w:t>
      </w:r>
      <w:r w:rsidRPr="00CD2B37">
        <w:rPr>
          <w:szCs w:val="20"/>
          <w:lang w:val="en-US"/>
        </w:rPr>
        <w:t xml:space="preserve"> in the ICD-11.</w:t>
      </w:r>
    </w:p>
    <w:p w14:paraId="5FA39EAB" w14:textId="4614093A" w:rsidR="00DF432B" w:rsidRDefault="00DF432B" w:rsidP="00AF14E3">
      <w:pPr>
        <w:jc w:val="both"/>
        <w:rPr>
          <w:ins w:id="22" w:author="Karhulahti, Veli-Matti" w:date="2022-01-17T22:14:00Z"/>
          <w:szCs w:val="20"/>
          <w:lang w:val="en-US"/>
        </w:rPr>
      </w:pPr>
      <w:ins w:id="23" w:author="Karhulahti, Veli-Matti" w:date="2022-01-17T22:14:00Z">
        <w:r w:rsidRPr="00DF432B">
          <w:rPr>
            <w:iCs/>
            <w:szCs w:val="20"/>
            <w:lang w:val="en-US"/>
          </w:rPr>
          <w:t xml:space="preserve">Problem </w:t>
        </w:r>
      </w:ins>
      <w:ins w:id="24" w:author="Karhulahti, Veli-Matti" w:date="2022-01-17T22:23:00Z">
        <w:r w:rsidR="00184873">
          <w:rPr>
            <w:iCs/>
            <w:szCs w:val="20"/>
            <w:lang w:val="en-US"/>
          </w:rPr>
          <w:t>G</w:t>
        </w:r>
      </w:ins>
      <w:ins w:id="25" w:author="Karhulahti, Veli-Matti" w:date="2022-01-17T22:14:00Z">
        <w:r w:rsidRPr="00DF432B">
          <w:rPr>
            <w:iCs/>
            <w:szCs w:val="20"/>
            <w:lang w:val="en-US"/>
          </w:rPr>
          <w:t xml:space="preserve">aming </w:t>
        </w:r>
      </w:ins>
      <w:ins w:id="26" w:author="Karhulahti, Veli-Matti" w:date="2022-01-17T22:23:00Z">
        <w:r w:rsidR="00184873">
          <w:rPr>
            <w:iCs/>
            <w:szCs w:val="20"/>
            <w:lang w:val="en-US"/>
          </w:rPr>
          <w:t>T</w:t>
        </w:r>
      </w:ins>
      <w:ins w:id="27" w:author="Karhulahti, Veli-Matti" w:date="2022-01-17T22:14:00Z">
        <w:r w:rsidRPr="00DF432B">
          <w:rPr>
            <w:iCs/>
            <w:szCs w:val="20"/>
            <w:lang w:val="en-US"/>
          </w:rPr>
          <w:t xml:space="preserve">est </w:t>
        </w:r>
        <w:r>
          <w:rPr>
            <w:iCs/>
            <w:szCs w:val="20"/>
            <w:lang w:val="en-US"/>
          </w:rPr>
          <w:t>(</w:t>
        </w:r>
      </w:ins>
      <w:r w:rsidR="00836E32" w:rsidRPr="005E6A56">
        <w:rPr>
          <w:szCs w:val="20"/>
          <w:lang w:val="en-US"/>
        </w:rPr>
        <w:t>THL1</w:t>
      </w:r>
      <w:ins w:id="28" w:author="Karhulahti, Veli-Matti" w:date="2022-01-17T22:14:00Z">
        <w:r>
          <w:rPr>
            <w:szCs w:val="20"/>
            <w:lang w:val="en-US"/>
          </w:rPr>
          <w:t>)</w:t>
        </w:r>
      </w:ins>
      <w:r w:rsidR="00836E32" w:rsidRPr="005E6A56">
        <w:rPr>
          <w:szCs w:val="20"/>
          <w:lang w:val="en-US"/>
        </w:rPr>
        <w:t xml:space="preserve"> (Salonen &amp; Raisamo 2015)</w:t>
      </w:r>
      <w:del w:id="29" w:author="Karhulahti, Veli-Matti" w:date="2022-01-17T22:31:00Z">
        <w:r w:rsidR="00836E32" w:rsidRPr="005E6A56" w:rsidDel="00CD2B37">
          <w:rPr>
            <w:szCs w:val="20"/>
            <w:lang w:val="en-US"/>
          </w:rPr>
          <w:delText>:</w:delText>
        </w:r>
      </w:del>
      <w:r w:rsidR="00836E32" w:rsidRPr="005E6A56">
        <w:rPr>
          <w:szCs w:val="20"/>
          <w:lang w:val="en-US"/>
        </w:rPr>
        <w:t xml:space="preserve"> </w:t>
      </w:r>
    </w:p>
    <w:p w14:paraId="2CB033BC" w14:textId="5C0FB8E6" w:rsidR="00CE6598" w:rsidRPr="00CD2B37" w:rsidRDefault="00836E32" w:rsidP="00CD2B37">
      <w:pPr>
        <w:pStyle w:val="ListParagraph"/>
        <w:numPr>
          <w:ilvl w:val="0"/>
          <w:numId w:val="7"/>
        </w:numPr>
        <w:jc w:val="both"/>
        <w:rPr>
          <w:szCs w:val="20"/>
          <w:lang w:val="en-US"/>
        </w:rPr>
        <w:pPrChange w:id="30" w:author="Karhulahti, Veli-Matti" w:date="2022-01-17T22:30:00Z">
          <w:pPr>
            <w:ind w:firstLine="720"/>
            <w:jc w:val="both"/>
          </w:pPr>
        </w:pPrChange>
      </w:pPr>
      <w:r w:rsidRPr="00CD2B37">
        <w:rPr>
          <w:szCs w:val="20"/>
          <w:lang w:val="en-US"/>
        </w:rPr>
        <w:t xml:space="preserve">based on </w:t>
      </w:r>
      <w:r w:rsidR="00595783" w:rsidRPr="00CD2B37">
        <w:rPr>
          <w:szCs w:val="20"/>
          <w:lang w:val="en-US"/>
        </w:rPr>
        <w:t>S</w:t>
      </w:r>
      <w:r w:rsidRPr="00CD2B37">
        <w:rPr>
          <w:szCs w:val="20"/>
          <w:lang w:val="en-US"/>
        </w:rPr>
        <w:t>elf-assessed gaming problems.</w:t>
      </w:r>
    </w:p>
    <w:p w14:paraId="7EBD700F" w14:textId="77777777" w:rsidR="00CE6598" w:rsidRDefault="00836E32">
      <w:pPr>
        <w:jc w:val="both"/>
        <w:rPr>
          <w:lang w:val="en-US"/>
        </w:rPr>
      </w:pPr>
      <w:r>
        <w:rPr>
          <w:lang w:val="en-US"/>
        </w:rPr>
        <w:t xml:space="preserve"> </w:t>
      </w:r>
    </w:p>
    <w:p w14:paraId="4480FB91" w14:textId="039404E1" w:rsidR="00CE6598" w:rsidRDefault="00836E32">
      <w:pPr>
        <w:jc w:val="both"/>
        <w:rPr>
          <w:lang w:val="en-US"/>
        </w:rPr>
      </w:pPr>
      <w:r>
        <w:rPr>
          <w:lang w:val="en-US"/>
        </w:rPr>
        <w:t xml:space="preserve">Whereas all the above instruments measure </w:t>
      </w:r>
      <w:r w:rsidR="004212A5">
        <w:rPr>
          <w:lang w:val="en-US"/>
        </w:rPr>
        <w:t>GR</w:t>
      </w:r>
      <w:r w:rsidR="005E6A56">
        <w:rPr>
          <w:lang w:val="en-US"/>
        </w:rPr>
        <w:t>H</w:t>
      </w:r>
      <w:r w:rsidR="004212A5">
        <w:rPr>
          <w:lang w:val="en-US"/>
        </w:rPr>
        <w:t>P</w:t>
      </w:r>
      <w:r w:rsidR="005E6A56">
        <w:rPr>
          <w:lang w:val="en-US"/>
        </w:rPr>
        <w:t>s</w:t>
      </w:r>
      <w:r>
        <w:rPr>
          <w:lang w:val="en-US"/>
        </w:rPr>
        <w:t xml:space="preserve">, the discrepancies in the above-cited literature imply that the construct(s) being measured might not be a single entity, but plural. Although our methods cannot investigate the clinical or </w:t>
      </w:r>
      <w:r w:rsidR="005E1398">
        <w:rPr>
          <w:lang w:val="en-US"/>
        </w:rPr>
        <w:t xml:space="preserve">etiological </w:t>
      </w:r>
      <w:r>
        <w:rPr>
          <w:i/>
          <w:iCs/>
          <w:lang w:val="en-US"/>
        </w:rPr>
        <w:t>nature</w:t>
      </w:r>
      <w:r>
        <w:rPr>
          <w:lang w:val="en-US"/>
        </w:rPr>
        <w:t xml:space="preserve"> of these potentially multiple constructs, we can seek evidence for the </w:t>
      </w:r>
      <w:r>
        <w:rPr>
          <w:i/>
          <w:lang w:val="en-US"/>
        </w:rPr>
        <w:t>multiplicity</w:t>
      </w:r>
      <w:r>
        <w:rPr>
          <w:lang w:val="en-US"/>
        </w:rPr>
        <w:t xml:space="preserve"> of the measured construct(s). </w:t>
      </w:r>
      <w:r w:rsidR="00784E52">
        <w:rPr>
          <w:lang w:val="en-US"/>
        </w:rPr>
        <w:t>Thus</w:t>
      </w:r>
      <w:r>
        <w:rPr>
          <w:lang w:val="en-US"/>
        </w:rPr>
        <w:t>, we use “constructs” as references to those latent entities, which are shared by the (expectedly) different four groups identified by each of the four instruments, respectively. Accordingly, our study will pursue evidence for an improved conceptual organization of what the ICD-11 and many scholars today refer to as a single construct, “gaming disorder”</w:t>
      </w:r>
      <w:r w:rsidR="002467C8">
        <w:rPr>
          <w:lang w:val="en-US"/>
        </w:rPr>
        <w:t>.</w:t>
      </w:r>
    </w:p>
    <w:p w14:paraId="233FB6EE" w14:textId="33CE118E" w:rsidR="00FD7A7A" w:rsidRDefault="008C23A3">
      <w:pPr>
        <w:ind w:firstLine="720"/>
        <w:jc w:val="both"/>
        <w:rPr>
          <w:ins w:id="31" w:author="Karhulahti, Veli-Matti" w:date="2022-01-17T22:24:00Z"/>
          <w:lang w:val="en-US"/>
        </w:rPr>
      </w:pPr>
      <w:r>
        <w:rPr>
          <w:lang w:val="en-US"/>
        </w:rPr>
        <w:t>T</w:t>
      </w:r>
      <w:r w:rsidR="00836E32">
        <w:rPr>
          <w:lang w:val="en-US"/>
        </w:rPr>
        <w:t xml:space="preserve">he current epidemiological and historical understandings of “gaming disorder” are based on a long lineage of research throughout which multiple </w:t>
      </w:r>
      <w:r w:rsidR="005E6A56">
        <w:rPr>
          <w:lang w:val="en-US"/>
        </w:rPr>
        <w:t>GRHPs</w:t>
      </w:r>
      <w:r w:rsidR="00836E32">
        <w:rPr>
          <w:lang w:val="en-US"/>
        </w:rPr>
        <w:t xml:space="preserve"> have been treated as one and the same construct. In practice, studies on the literal “gaming disorder” (by the ICD-11) draw from the literature on “internet gaming disorder” (in the DSM-5), which in turn was built on studies o</w:t>
      </w:r>
      <w:r w:rsidR="002A0E1B">
        <w:rPr>
          <w:lang w:val="en-US"/>
        </w:rPr>
        <w:t>f</w:t>
      </w:r>
      <w:r w:rsidR="00836E32">
        <w:rPr>
          <w:lang w:val="en-US"/>
        </w:rPr>
        <w:t xml:space="preserve"> “gaming addiction” (pathological gambling in the DSM-IV) and others, such as “problem gaming”</w:t>
      </w:r>
      <w:r w:rsidR="002467C8">
        <w:rPr>
          <w:lang w:val="en-US"/>
        </w:rPr>
        <w:t>,</w:t>
      </w:r>
      <w:r w:rsidR="00836E32">
        <w:rPr>
          <w:lang w:val="en-US"/>
        </w:rPr>
        <w:t xml:space="preserve"> that vary in their ontology by each study and research team. Sound evidence for this issue are the epidemiological reviews, which systematically mix gambling-based (DSM-IV), internet-based (DSM-5), general (ICD-11), and other ontologically diverse findings of </w:t>
      </w:r>
      <w:r w:rsidR="00784E52">
        <w:rPr>
          <w:lang w:val="en-US"/>
        </w:rPr>
        <w:t>GRHPs</w:t>
      </w:r>
      <w:r w:rsidR="00836E32">
        <w:rPr>
          <w:lang w:val="en-US"/>
        </w:rPr>
        <w:t xml:space="preserve"> (e.g., Stevens et al. 2020). If we find evidence for </w:t>
      </w:r>
      <w:r>
        <w:rPr>
          <w:lang w:val="en-US"/>
        </w:rPr>
        <w:t xml:space="preserve">our </w:t>
      </w:r>
      <w:r w:rsidR="00836E32">
        <w:rPr>
          <w:lang w:val="en-US"/>
        </w:rPr>
        <w:t xml:space="preserve">four </w:t>
      </w:r>
      <w:r>
        <w:rPr>
          <w:lang w:val="en-US"/>
        </w:rPr>
        <w:t xml:space="preserve">ontologically diverse </w:t>
      </w:r>
      <w:r w:rsidR="00836E32">
        <w:rPr>
          <w:lang w:val="en-US"/>
        </w:rPr>
        <w:t>instruments</w:t>
      </w:r>
      <w:r>
        <w:rPr>
          <w:lang w:val="en-US"/>
        </w:rPr>
        <w:t xml:space="preserve"> </w:t>
      </w:r>
      <w:r w:rsidR="00836E32">
        <w:rPr>
          <w:lang w:val="en-US"/>
        </w:rPr>
        <w:t>to be similar in how they operate, this support</w:t>
      </w:r>
      <w:r>
        <w:rPr>
          <w:lang w:val="en-US"/>
        </w:rPr>
        <w:t>s</w:t>
      </w:r>
      <w:r w:rsidR="00836E32">
        <w:rPr>
          <w:lang w:val="en-US"/>
        </w:rPr>
        <w:t xml:space="preserve"> the </w:t>
      </w:r>
      <w:r w:rsidR="00836E32">
        <w:rPr>
          <w:i/>
          <w:iCs/>
          <w:lang w:val="en-US"/>
        </w:rPr>
        <w:t>single-construct</w:t>
      </w:r>
      <w:r w:rsidR="00836E32">
        <w:rPr>
          <w:lang w:val="en-US"/>
        </w:rPr>
        <w:t xml:space="preserve"> idea of “gaming disorder” (which may manifest in many ways, Figure 1). If the instruments differ in how they operate, this indicate</w:t>
      </w:r>
      <w:r>
        <w:rPr>
          <w:lang w:val="en-US"/>
        </w:rPr>
        <w:t>s</w:t>
      </w:r>
      <w:r w:rsidR="00836E32">
        <w:rPr>
          <w:lang w:val="en-US"/>
        </w:rPr>
        <w:t xml:space="preserve"> that efforts </w:t>
      </w:r>
      <w:r>
        <w:rPr>
          <w:lang w:val="en-US"/>
        </w:rPr>
        <w:t xml:space="preserve">should </w:t>
      </w:r>
      <w:r w:rsidR="00784E52">
        <w:rPr>
          <w:lang w:val="en-US"/>
        </w:rPr>
        <w:t xml:space="preserve">be directed </w:t>
      </w:r>
      <w:r w:rsidR="00836E32">
        <w:rPr>
          <w:lang w:val="en-US"/>
        </w:rPr>
        <w:t xml:space="preserve">toward assessing the clinical </w:t>
      </w:r>
      <w:r w:rsidR="004A3481">
        <w:rPr>
          <w:lang w:val="en-US"/>
        </w:rPr>
        <w:t>(</w:t>
      </w:r>
      <w:proofErr w:type="spellStart"/>
      <w:r w:rsidR="004A3481">
        <w:rPr>
          <w:lang w:val="en-US"/>
        </w:rPr>
        <w:t>ir</w:t>
      </w:r>
      <w:proofErr w:type="spellEnd"/>
      <w:r w:rsidR="004A3481">
        <w:rPr>
          <w:lang w:val="en-US"/>
        </w:rPr>
        <w:t>)</w:t>
      </w:r>
      <w:r w:rsidR="00836E32">
        <w:rPr>
          <w:lang w:val="en-US"/>
        </w:rPr>
        <w:t xml:space="preserve">relevance of </w:t>
      </w:r>
      <w:r w:rsidR="00836E32">
        <w:rPr>
          <w:i/>
          <w:lang w:val="en-US"/>
        </w:rPr>
        <w:t>multiple</w:t>
      </w:r>
      <w:r w:rsidR="00836E32">
        <w:rPr>
          <w:lang w:val="en-US"/>
        </w:rPr>
        <w:t xml:space="preserve"> </w:t>
      </w:r>
      <w:r w:rsidR="00836E32">
        <w:rPr>
          <w:i/>
          <w:iCs/>
          <w:lang w:val="en-US"/>
        </w:rPr>
        <w:t>constructs</w:t>
      </w:r>
      <w:r w:rsidR="00836E32">
        <w:rPr>
          <w:lang w:val="en-US"/>
        </w:rPr>
        <w:t xml:space="preserve"> (Figure 2). </w:t>
      </w:r>
    </w:p>
    <w:p w14:paraId="4BBAC702" w14:textId="77777777" w:rsidR="005C2D33" w:rsidRDefault="005C2D33" w:rsidP="005C2D33">
      <w:pPr>
        <w:ind w:firstLine="720"/>
        <w:jc w:val="both"/>
        <w:rPr>
          <w:lang w:val="en-US"/>
        </w:rPr>
      </w:pPr>
      <w:r>
        <w:rPr>
          <w:lang w:val="en-US"/>
        </w:rPr>
        <w:t>Next, we introduce our hypotheses, which are specified in the Methods section. Based on the recurring findings that show prevalence rates of GRHPs to vary along with the instruments (e.g., Stevens et al. 2020), we expect our ontologically distinct instruments to produce meaningfully different prevalence rates (Appendix 1).</w:t>
      </w:r>
      <w:r w:rsidRPr="001D4E55">
        <w:rPr>
          <w:lang w:val="en-US"/>
        </w:rPr>
        <w:t xml:space="preserve"> </w:t>
      </w:r>
    </w:p>
    <w:p w14:paraId="03844EA7" w14:textId="77777777" w:rsidR="005C2D33" w:rsidRDefault="005C2D33">
      <w:pPr>
        <w:ind w:firstLine="720"/>
        <w:jc w:val="both"/>
        <w:rPr>
          <w:lang w:val="en-US"/>
        </w:rPr>
      </w:pPr>
    </w:p>
    <w:p w14:paraId="7F1B8892" w14:textId="3BF423DB" w:rsidR="00FD7A7A" w:rsidRDefault="00FD7A7A" w:rsidP="00FD7A7A">
      <w:pPr>
        <w:rPr>
          <w:lang w:val="en-US"/>
        </w:rPr>
      </w:pPr>
    </w:p>
    <w:p w14:paraId="20106E9D" w14:textId="31703FA6" w:rsidR="00CE6598" w:rsidRPr="00FD7A7A" w:rsidRDefault="00FD7A7A" w:rsidP="005E6A56">
      <w:pPr>
        <w:tabs>
          <w:tab w:val="left" w:pos="6072"/>
        </w:tabs>
        <w:rPr>
          <w:lang w:val="en-US"/>
        </w:rPr>
      </w:pPr>
      <w:r>
        <w:rPr>
          <w:lang w:val="en-US"/>
        </w:rPr>
        <w:tab/>
      </w:r>
    </w:p>
    <w:p w14:paraId="5E59865A" w14:textId="77777777" w:rsidR="00CE6598" w:rsidRDefault="00836E32">
      <w:pPr>
        <w:rPr>
          <w:lang w:val="en-US"/>
        </w:rPr>
      </w:pPr>
      <w:r>
        <w:rPr>
          <w:noProof/>
        </w:rPr>
        <w:lastRenderedPageBreak/>
        <w:drawing>
          <wp:inline distT="0" distB="0" distL="0" distR="0" wp14:anchorId="76417FA6" wp14:editId="49CAFF29">
            <wp:extent cx="4258310" cy="1422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8"/>
                    <a:stretch>
                      <a:fillRect/>
                    </a:stretch>
                  </pic:blipFill>
                  <pic:spPr bwMode="auto">
                    <a:xfrm>
                      <a:off x="0" y="0"/>
                      <a:ext cx="4258310" cy="1422400"/>
                    </a:xfrm>
                    <a:prstGeom prst="rect">
                      <a:avLst/>
                    </a:prstGeom>
                  </pic:spPr>
                </pic:pic>
              </a:graphicData>
            </a:graphic>
          </wp:inline>
        </w:drawing>
      </w:r>
      <w:r>
        <w:rPr>
          <w:noProof/>
        </w:rPr>
        <w:drawing>
          <wp:inline distT="0" distB="0" distL="0" distR="0" wp14:anchorId="0BABAB7A" wp14:editId="53DE2A28">
            <wp:extent cx="1405255" cy="1426845"/>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a:picLocks noChangeAspect="1" noChangeArrowheads="1"/>
                    </pic:cNvPicPr>
                  </pic:nvPicPr>
                  <pic:blipFill>
                    <a:blip r:embed="rId9"/>
                    <a:stretch>
                      <a:fillRect/>
                    </a:stretch>
                  </pic:blipFill>
                  <pic:spPr bwMode="auto">
                    <a:xfrm>
                      <a:off x="0" y="0"/>
                      <a:ext cx="1405255" cy="1426845"/>
                    </a:xfrm>
                    <a:prstGeom prst="rect">
                      <a:avLst/>
                    </a:prstGeom>
                  </pic:spPr>
                </pic:pic>
              </a:graphicData>
            </a:graphic>
          </wp:inline>
        </w:drawing>
      </w:r>
    </w:p>
    <w:p w14:paraId="2B8405E2" w14:textId="0143C9E8" w:rsidR="00CE6598" w:rsidRDefault="00836E32">
      <w:pPr>
        <w:jc w:val="both"/>
        <w:rPr>
          <w:lang w:val="en-US"/>
        </w:rPr>
      </w:pPr>
      <w:r>
        <w:rPr>
          <w:b/>
          <w:bCs/>
          <w:sz w:val="18"/>
          <w:szCs w:val="18"/>
          <w:lang w:val="en-US"/>
        </w:rPr>
        <w:t>Figure 1</w:t>
      </w:r>
      <w:r>
        <w:rPr>
          <w:sz w:val="18"/>
          <w:szCs w:val="18"/>
          <w:lang w:val="en-US"/>
        </w:rPr>
        <w:t xml:space="preserve">. Four </w:t>
      </w:r>
      <w:r w:rsidR="004C4113">
        <w:rPr>
          <w:sz w:val="18"/>
          <w:szCs w:val="18"/>
          <w:lang w:val="en-US"/>
        </w:rPr>
        <w:t>ex</w:t>
      </w:r>
      <w:r w:rsidR="00A92502">
        <w:rPr>
          <w:sz w:val="18"/>
          <w:szCs w:val="18"/>
          <w:lang w:val="en-US"/>
        </w:rPr>
        <w:t>e</w:t>
      </w:r>
      <w:r w:rsidR="004C4113">
        <w:rPr>
          <w:sz w:val="18"/>
          <w:szCs w:val="18"/>
          <w:lang w:val="en-US"/>
        </w:rPr>
        <w:t>mpl</w:t>
      </w:r>
      <w:r w:rsidR="00A92502">
        <w:rPr>
          <w:sz w:val="18"/>
          <w:szCs w:val="18"/>
          <w:lang w:val="en-US"/>
        </w:rPr>
        <w:t>ary</w:t>
      </w:r>
      <w:r w:rsidR="004C4113">
        <w:rPr>
          <w:sz w:val="18"/>
          <w:szCs w:val="18"/>
          <w:lang w:val="en-US"/>
        </w:rPr>
        <w:t xml:space="preserve"> </w:t>
      </w:r>
      <w:r>
        <w:rPr>
          <w:sz w:val="18"/>
          <w:szCs w:val="18"/>
          <w:lang w:val="en-US"/>
        </w:rPr>
        <w:t>scenarios where</w:t>
      </w:r>
      <w:r w:rsidR="00FE3FA2">
        <w:rPr>
          <w:sz w:val="18"/>
          <w:szCs w:val="18"/>
          <w:lang w:val="en-US"/>
        </w:rPr>
        <w:t xml:space="preserve"> our GRHP</w:t>
      </w:r>
      <w:r>
        <w:rPr>
          <w:sz w:val="18"/>
          <w:szCs w:val="18"/>
          <w:lang w:val="en-US"/>
        </w:rPr>
        <w:t xml:space="preserve"> screening instruments identify overlapping groups. </w:t>
      </w:r>
      <w:r>
        <w:rPr>
          <w:b/>
          <w:sz w:val="18"/>
          <w:szCs w:val="18"/>
          <w:lang w:val="en-US"/>
        </w:rPr>
        <w:t>On the left</w:t>
      </w:r>
      <w:r>
        <w:rPr>
          <w:sz w:val="18"/>
          <w:szCs w:val="18"/>
          <w:lang w:val="en-US"/>
        </w:rPr>
        <w:t>: a</w:t>
      </w:r>
      <w:r w:rsidR="00A92502">
        <w:rPr>
          <w:sz w:val="18"/>
          <w:szCs w:val="18"/>
          <w:lang w:val="en-US"/>
        </w:rPr>
        <w:t>n example</w:t>
      </w:r>
      <w:r>
        <w:rPr>
          <w:sz w:val="18"/>
          <w:szCs w:val="18"/>
          <w:lang w:val="en-US"/>
        </w:rPr>
        <w:t xml:space="preserve"> scenario where four screening instruments identify four different sized groups and they all capture the same construct on different severity levels (</w:t>
      </w:r>
      <w:proofErr w:type="gramStart"/>
      <w:r>
        <w:rPr>
          <w:sz w:val="18"/>
          <w:szCs w:val="18"/>
          <w:lang w:val="en-US"/>
        </w:rPr>
        <w:t>e.g.</w:t>
      </w:r>
      <w:proofErr w:type="gramEnd"/>
      <w:r>
        <w:rPr>
          <w:sz w:val="18"/>
          <w:szCs w:val="18"/>
          <w:lang w:val="en-US"/>
        </w:rPr>
        <w:t xml:space="preserve"> GD-1: severe</w:t>
      </w:r>
      <w:r w:rsidR="00A92502">
        <w:rPr>
          <w:sz w:val="18"/>
          <w:szCs w:val="18"/>
          <w:lang w:val="en-US"/>
        </w:rPr>
        <w:t xml:space="preserve"> problems</w:t>
      </w:r>
      <w:r>
        <w:rPr>
          <w:sz w:val="18"/>
          <w:szCs w:val="18"/>
          <w:lang w:val="en-US"/>
        </w:rPr>
        <w:t xml:space="preserve">, GD-4: </w:t>
      </w:r>
      <w:r w:rsidR="0071385B">
        <w:rPr>
          <w:sz w:val="18"/>
          <w:szCs w:val="18"/>
          <w:lang w:val="en-US"/>
        </w:rPr>
        <w:t>mild</w:t>
      </w:r>
      <w:r w:rsidR="00A92502">
        <w:rPr>
          <w:sz w:val="18"/>
          <w:szCs w:val="18"/>
          <w:lang w:val="en-US"/>
        </w:rPr>
        <w:t xml:space="preserve"> </w:t>
      </w:r>
      <w:r>
        <w:rPr>
          <w:sz w:val="18"/>
          <w:szCs w:val="18"/>
          <w:lang w:val="en-US"/>
        </w:rPr>
        <w:t xml:space="preserve">problems). </w:t>
      </w:r>
      <w:r>
        <w:rPr>
          <w:b/>
          <w:sz w:val="18"/>
          <w:szCs w:val="18"/>
          <w:lang w:val="en-US"/>
        </w:rPr>
        <w:t>Left middle</w:t>
      </w:r>
      <w:r>
        <w:rPr>
          <w:sz w:val="18"/>
          <w:szCs w:val="18"/>
          <w:lang w:val="en-US"/>
        </w:rPr>
        <w:t>: a</w:t>
      </w:r>
      <w:r w:rsidR="00A92502">
        <w:rPr>
          <w:sz w:val="18"/>
          <w:szCs w:val="18"/>
          <w:lang w:val="en-US"/>
        </w:rPr>
        <w:t>n</w:t>
      </w:r>
      <w:r>
        <w:rPr>
          <w:sz w:val="18"/>
          <w:szCs w:val="18"/>
          <w:lang w:val="en-US"/>
        </w:rPr>
        <w:t xml:space="preserve"> </w:t>
      </w:r>
      <w:r w:rsidR="00A92502">
        <w:rPr>
          <w:sz w:val="18"/>
          <w:szCs w:val="18"/>
          <w:lang w:val="en-US"/>
        </w:rPr>
        <w:t xml:space="preserve">example </w:t>
      </w:r>
      <w:r>
        <w:rPr>
          <w:sz w:val="18"/>
          <w:szCs w:val="18"/>
          <w:lang w:val="en-US"/>
        </w:rPr>
        <w:t xml:space="preserve">scenario where four screening instruments identify four different sized groups and they all capture different domains of the construct (e.g., GD-A: mental health problems, GD-B: physical health problems, GD-C: social health problems, GD-D: other problems). </w:t>
      </w:r>
      <w:r>
        <w:rPr>
          <w:b/>
          <w:sz w:val="18"/>
          <w:szCs w:val="18"/>
          <w:lang w:val="en-US"/>
        </w:rPr>
        <w:t>Right middle</w:t>
      </w:r>
      <w:r>
        <w:rPr>
          <w:sz w:val="18"/>
          <w:szCs w:val="18"/>
          <w:lang w:val="en-US"/>
        </w:rPr>
        <w:t>: a</w:t>
      </w:r>
      <w:r w:rsidR="00A92502">
        <w:rPr>
          <w:sz w:val="18"/>
          <w:szCs w:val="18"/>
          <w:lang w:val="en-US"/>
        </w:rPr>
        <w:t>n</w:t>
      </w:r>
      <w:r>
        <w:rPr>
          <w:sz w:val="18"/>
          <w:szCs w:val="18"/>
          <w:lang w:val="en-US"/>
        </w:rPr>
        <w:t xml:space="preserve"> </w:t>
      </w:r>
      <w:r w:rsidR="00A92502">
        <w:rPr>
          <w:sz w:val="18"/>
          <w:szCs w:val="18"/>
          <w:lang w:val="en-US"/>
        </w:rPr>
        <w:t xml:space="preserve">example </w:t>
      </w:r>
      <w:r>
        <w:rPr>
          <w:sz w:val="18"/>
          <w:szCs w:val="18"/>
          <w:lang w:val="en-US"/>
        </w:rPr>
        <w:t xml:space="preserve">scenario where four screening instruments identify four different sized groups of which one </w:t>
      </w:r>
      <w:r w:rsidR="00FE3FA2">
        <w:rPr>
          <w:sz w:val="18"/>
          <w:szCs w:val="18"/>
          <w:lang w:val="en-US"/>
        </w:rPr>
        <w:t xml:space="preserve">involves </w:t>
      </w:r>
      <w:r w:rsidR="00202491">
        <w:rPr>
          <w:sz w:val="18"/>
          <w:szCs w:val="18"/>
          <w:lang w:val="en-US"/>
        </w:rPr>
        <w:t>GRHPs</w:t>
      </w:r>
      <w:r>
        <w:rPr>
          <w:sz w:val="18"/>
          <w:szCs w:val="18"/>
          <w:lang w:val="en-US"/>
        </w:rPr>
        <w:t xml:space="preserve"> (e.g., GD-1: mixed health problems, other identified groups not related health problems). </w:t>
      </w:r>
      <w:r>
        <w:rPr>
          <w:b/>
          <w:sz w:val="18"/>
          <w:szCs w:val="18"/>
          <w:lang w:val="en-US"/>
        </w:rPr>
        <w:t>On the right</w:t>
      </w:r>
      <w:r>
        <w:rPr>
          <w:sz w:val="18"/>
          <w:szCs w:val="18"/>
          <w:lang w:val="en-US"/>
        </w:rPr>
        <w:t>: a</w:t>
      </w:r>
      <w:r w:rsidR="00A92502">
        <w:rPr>
          <w:sz w:val="18"/>
          <w:szCs w:val="18"/>
          <w:lang w:val="en-US"/>
        </w:rPr>
        <w:t>n</w:t>
      </w:r>
      <w:r>
        <w:rPr>
          <w:sz w:val="18"/>
          <w:szCs w:val="18"/>
          <w:lang w:val="en-US"/>
        </w:rPr>
        <w:t xml:space="preserve"> </w:t>
      </w:r>
      <w:r w:rsidR="00A92502">
        <w:rPr>
          <w:sz w:val="18"/>
          <w:szCs w:val="18"/>
          <w:lang w:val="en-US"/>
        </w:rPr>
        <w:t xml:space="preserve">example </w:t>
      </w:r>
      <w:r>
        <w:rPr>
          <w:sz w:val="18"/>
          <w:szCs w:val="18"/>
          <w:lang w:val="en-US"/>
        </w:rPr>
        <w:t xml:space="preserve">perfect scenario where four screening instruments identify one and the same group. </w:t>
      </w:r>
      <w:r w:rsidR="00202491">
        <w:rPr>
          <w:sz w:val="18"/>
          <w:szCs w:val="18"/>
          <w:lang w:val="en-US"/>
        </w:rPr>
        <w:t>T</w:t>
      </w:r>
      <w:r>
        <w:rPr>
          <w:sz w:val="18"/>
          <w:szCs w:val="18"/>
          <w:lang w:val="en-US"/>
        </w:rPr>
        <w:t xml:space="preserve">he </w:t>
      </w:r>
      <w:r w:rsidR="00A92502">
        <w:rPr>
          <w:sz w:val="18"/>
          <w:szCs w:val="18"/>
          <w:lang w:val="en-US"/>
        </w:rPr>
        <w:t>examples</w:t>
      </w:r>
      <w:r>
        <w:rPr>
          <w:sz w:val="18"/>
          <w:szCs w:val="18"/>
          <w:lang w:val="en-US"/>
        </w:rPr>
        <w:t xml:space="preserve"> are not exhaustive, and the identified groups need not overlap.</w:t>
      </w:r>
    </w:p>
    <w:p w14:paraId="47FFB379" w14:textId="002C82C5" w:rsidR="00CE6598" w:rsidRDefault="00CE6598">
      <w:pPr>
        <w:jc w:val="both"/>
        <w:rPr>
          <w:lang w:val="en-US"/>
        </w:rPr>
      </w:pPr>
    </w:p>
    <w:p w14:paraId="40F9AA59" w14:textId="2E9517C4" w:rsidR="004E1E9D" w:rsidRDefault="001832DA" w:rsidP="00202491">
      <w:pPr>
        <w:jc w:val="both"/>
        <w:rPr>
          <w:b/>
          <w:bCs/>
          <w:lang w:val="en-US"/>
        </w:rPr>
      </w:pPr>
      <w:r w:rsidRPr="001832DA">
        <w:rPr>
          <w:lang w:val="en-US"/>
        </w:rPr>
        <w:t>Primary hypothesis</w:t>
      </w:r>
      <w:r w:rsidR="004E1E9D">
        <w:rPr>
          <w:lang w:val="en-US"/>
        </w:rPr>
        <w:t xml:space="preserve">, </w:t>
      </w:r>
      <w:r w:rsidRPr="001832DA">
        <w:rPr>
          <w:lang w:val="en-US"/>
        </w:rPr>
        <w:t>high confidence</w:t>
      </w:r>
      <w:r w:rsidR="004E1E9D">
        <w:rPr>
          <w:lang w:val="en-US"/>
        </w:rPr>
        <w:t>.</w:t>
      </w:r>
      <w:r>
        <w:rPr>
          <w:b/>
          <w:bCs/>
          <w:lang w:val="en-US"/>
        </w:rPr>
        <w:t xml:space="preserve"> </w:t>
      </w:r>
    </w:p>
    <w:p w14:paraId="164ABA9F" w14:textId="0A24492F" w:rsidR="00A74A7D" w:rsidRPr="001832DA" w:rsidRDefault="00836E32" w:rsidP="00202491">
      <w:pPr>
        <w:jc w:val="both"/>
        <w:rPr>
          <w:i/>
          <w:lang w:val="en-US"/>
        </w:rPr>
      </w:pPr>
      <w:r>
        <w:rPr>
          <w:b/>
          <w:bCs/>
          <w:lang w:val="en-US"/>
        </w:rPr>
        <w:t>H1</w:t>
      </w:r>
      <w:r>
        <w:rPr>
          <w:lang w:val="en-US"/>
        </w:rPr>
        <w:t xml:space="preserve">:  </w:t>
      </w:r>
      <w:r>
        <w:rPr>
          <w:i/>
          <w:lang w:val="en-US"/>
        </w:rPr>
        <w:t xml:space="preserve">We expect the ICD-11 and DSM-5 based </w:t>
      </w:r>
      <w:r w:rsidR="00773361">
        <w:rPr>
          <w:i/>
          <w:lang w:val="en-US"/>
        </w:rPr>
        <w:t xml:space="preserve">GRHP </w:t>
      </w:r>
      <w:r>
        <w:rPr>
          <w:i/>
          <w:lang w:val="en-US"/>
        </w:rPr>
        <w:t xml:space="preserve">prevalence rates to be </w:t>
      </w:r>
      <w:r w:rsidR="004C4113">
        <w:rPr>
          <w:i/>
          <w:lang w:val="en-US"/>
        </w:rPr>
        <w:t xml:space="preserve">meaningfully </w:t>
      </w:r>
      <w:r>
        <w:rPr>
          <w:i/>
          <w:lang w:val="en-US"/>
        </w:rPr>
        <w:t xml:space="preserve">lower than the DSM-IV and </w:t>
      </w:r>
      <w:r w:rsidR="00595783">
        <w:rPr>
          <w:i/>
          <w:lang w:val="en-US"/>
        </w:rPr>
        <w:t>S</w:t>
      </w:r>
      <w:r>
        <w:rPr>
          <w:i/>
          <w:lang w:val="en-US"/>
        </w:rPr>
        <w:t>elf-assessment</w:t>
      </w:r>
      <w:r>
        <w:rPr>
          <w:rStyle w:val="Ukotveniepoznmkypodiarou"/>
          <w:i/>
          <w:lang w:val="en-US"/>
        </w:rPr>
        <w:footnoteReference w:id="1"/>
      </w:r>
      <w:r>
        <w:rPr>
          <w:i/>
          <w:lang w:val="en-US"/>
        </w:rPr>
        <w:t xml:space="preserve"> based prevalence rates.</w:t>
      </w:r>
      <w:r w:rsidR="001832DA">
        <w:rPr>
          <w:i/>
          <w:lang w:val="en-US"/>
        </w:rPr>
        <w:t xml:space="preserve"> </w:t>
      </w:r>
    </w:p>
    <w:p w14:paraId="384746D6" w14:textId="2D18402E" w:rsidR="00B15977" w:rsidRDefault="00B15977" w:rsidP="00773361">
      <w:pPr>
        <w:ind w:left="567"/>
        <w:jc w:val="both"/>
        <w:rPr>
          <w:i/>
          <w:lang w:val="en-US"/>
        </w:rPr>
      </w:pPr>
      <w:r>
        <w:rPr>
          <w:b/>
          <w:bCs/>
          <w:lang w:val="en-US"/>
        </w:rPr>
        <w:t>H1a</w:t>
      </w:r>
      <w:r>
        <w:rPr>
          <w:lang w:val="en-US"/>
        </w:rPr>
        <w:t xml:space="preserve">: </w:t>
      </w:r>
      <w:r>
        <w:rPr>
          <w:i/>
          <w:lang w:val="en-US"/>
        </w:rPr>
        <w:t>We expect the ICD-11 based prevalence rate to be meaningfully lower than the DSM-IV based prevalence rate.</w:t>
      </w:r>
    </w:p>
    <w:p w14:paraId="21755370" w14:textId="1662EFB8" w:rsidR="00B15977" w:rsidRDefault="00B15977" w:rsidP="00773361">
      <w:pPr>
        <w:ind w:left="567"/>
        <w:jc w:val="both"/>
        <w:rPr>
          <w:i/>
          <w:lang w:val="en-US"/>
        </w:rPr>
      </w:pPr>
      <w:r>
        <w:rPr>
          <w:b/>
          <w:bCs/>
          <w:lang w:val="en-US"/>
        </w:rPr>
        <w:t>H1b</w:t>
      </w:r>
      <w:r>
        <w:rPr>
          <w:lang w:val="en-US"/>
        </w:rPr>
        <w:t xml:space="preserve">: </w:t>
      </w:r>
      <w:r>
        <w:rPr>
          <w:i/>
          <w:lang w:val="en-US"/>
        </w:rPr>
        <w:t xml:space="preserve">We expect the ICD-11 based prevalence rate to be meaningfully lower than the </w:t>
      </w:r>
      <w:r w:rsidR="00595783">
        <w:rPr>
          <w:i/>
          <w:lang w:val="en-US"/>
        </w:rPr>
        <w:t>S</w:t>
      </w:r>
      <w:r>
        <w:rPr>
          <w:i/>
          <w:lang w:val="en-US"/>
        </w:rPr>
        <w:t>elf-</w:t>
      </w:r>
      <w:proofErr w:type="gramStart"/>
      <w:r>
        <w:rPr>
          <w:i/>
          <w:lang w:val="en-US"/>
        </w:rPr>
        <w:t>assessment based</w:t>
      </w:r>
      <w:proofErr w:type="gramEnd"/>
      <w:r>
        <w:rPr>
          <w:i/>
          <w:lang w:val="en-US"/>
        </w:rPr>
        <w:t xml:space="preserve"> prevalence rate.</w:t>
      </w:r>
    </w:p>
    <w:p w14:paraId="2D0EC568" w14:textId="597F3379" w:rsidR="00B15977" w:rsidRDefault="00B15977" w:rsidP="00773361">
      <w:pPr>
        <w:ind w:left="567"/>
        <w:jc w:val="both"/>
        <w:rPr>
          <w:lang w:val="en-US"/>
        </w:rPr>
      </w:pPr>
      <w:r>
        <w:rPr>
          <w:b/>
          <w:bCs/>
          <w:lang w:val="en-US"/>
        </w:rPr>
        <w:t>H1c</w:t>
      </w:r>
      <w:r>
        <w:rPr>
          <w:lang w:val="en-US"/>
        </w:rPr>
        <w:t xml:space="preserve">: </w:t>
      </w:r>
      <w:r>
        <w:rPr>
          <w:i/>
          <w:lang w:val="en-US"/>
        </w:rPr>
        <w:t>We expect the DSM-5 based prevalence rate to be meaningfully lower than the DSM-IV based prevalence rate.</w:t>
      </w:r>
    </w:p>
    <w:p w14:paraId="2AB7F8D4" w14:textId="4A5CB076" w:rsidR="00B15977" w:rsidRDefault="00B15977" w:rsidP="00773361">
      <w:pPr>
        <w:ind w:left="567"/>
        <w:jc w:val="both"/>
        <w:rPr>
          <w:lang w:val="en-US"/>
        </w:rPr>
      </w:pPr>
      <w:r>
        <w:rPr>
          <w:b/>
          <w:bCs/>
          <w:lang w:val="en-US"/>
        </w:rPr>
        <w:t>H1d</w:t>
      </w:r>
      <w:r>
        <w:rPr>
          <w:lang w:val="en-US"/>
        </w:rPr>
        <w:t xml:space="preserve">: </w:t>
      </w:r>
      <w:r>
        <w:rPr>
          <w:i/>
          <w:lang w:val="en-US"/>
        </w:rPr>
        <w:t xml:space="preserve">We expect the DSM-5 based prevalence rate to be meaningfully lower than the </w:t>
      </w:r>
      <w:r w:rsidR="00595783">
        <w:rPr>
          <w:i/>
          <w:lang w:val="en-US"/>
        </w:rPr>
        <w:t>S</w:t>
      </w:r>
      <w:r>
        <w:rPr>
          <w:i/>
          <w:lang w:val="en-US"/>
        </w:rPr>
        <w:t>elf-</w:t>
      </w:r>
      <w:proofErr w:type="gramStart"/>
      <w:r>
        <w:rPr>
          <w:i/>
          <w:lang w:val="en-US"/>
        </w:rPr>
        <w:t>assessment based</w:t>
      </w:r>
      <w:proofErr w:type="gramEnd"/>
      <w:r>
        <w:rPr>
          <w:i/>
          <w:lang w:val="en-US"/>
        </w:rPr>
        <w:t xml:space="preserve"> prevalence rate.</w:t>
      </w:r>
    </w:p>
    <w:p w14:paraId="69DE5D30" w14:textId="6ED1B2E2" w:rsidR="00CE6598" w:rsidRDefault="00CE6598">
      <w:pPr>
        <w:jc w:val="both"/>
        <w:rPr>
          <w:rFonts w:eastAsia="Calibri"/>
          <w:lang w:val="en-US"/>
        </w:rPr>
      </w:pPr>
    </w:p>
    <w:p w14:paraId="12A9F074" w14:textId="63FBE053" w:rsidR="00CE6598" w:rsidRDefault="00836E32">
      <w:pPr>
        <w:jc w:val="both"/>
        <w:rPr>
          <w:lang w:val="en-US"/>
        </w:rPr>
      </w:pPr>
      <w:r>
        <w:rPr>
          <w:lang w:val="en-US"/>
        </w:rPr>
        <w:t xml:space="preserve">The prevalence rate tells us how many people are identified, but it tells little about </w:t>
      </w:r>
      <w:r w:rsidR="006D2663">
        <w:rPr>
          <w:lang w:val="en-US"/>
        </w:rPr>
        <w:t>overlap</w:t>
      </w:r>
      <w:r>
        <w:rPr>
          <w:lang w:val="en-US"/>
        </w:rPr>
        <w:t>—</w:t>
      </w:r>
      <w:r>
        <w:rPr>
          <w:i/>
          <w:lang w:val="en-US"/>
        </w:rPr>
        <w:t>who</w:t>
      </w:r>
      <w:r>
        <w:rPr>
          <w:lang w:val="en-US"/>
        </w:rPr>
        <w:t xml:space="preserve"> are identified. In practice, two identical prevalence rates could identify two entirely different groups of people. </w:t>
      </w:r>
      <w:r w:rsidR="00202491">
        <w:rPr>
          <w:lang w:val="en-US"/>
        </w:rPr>
        <w:t>F</w:t>
      </w:r>
      <w:r>
        <w:rPr>
          <w:lang w:val="en-US"/>
        </w:rPr>
        <w:t xml:space="preserve">or instance, Starcevic and colleagues (2020) assessed 100 individuals who sought treatment for </w:t>
      </w:r>
      <w:r w:rsidR="00202491">
        <w:rPr>
          <w:lang w:val="en-US"/>
        </w:rPr>
        <w:t>GRHPs</w:t>
      </w:r>
      <w:r>
        <w:rPr>
          <w:lang w:val="en-US"/>
        </w:rPr>
        <w:t xml:space="preserve"> and found 36 me</w:t>
      </w:r>
      <w:r w:rsidR="002F7DC4">
        <w:rPr>
          <w:lang w:val="en-US"/>
        </w:rPr>
        <w:t>t</w:t>
      </w:r>
      <w:r>
        <w:rPr>
          <w:lang w:val="en-US"/>
        </w:rPr>
        <w:t xml:space="preserve"> both “gaming disorder” and “internet gaming disorder” criteria, </w:t>
      </w:r>
      <w:r w:rsidR="000E4A9F">
        <w:rPr>
          <w:lang w:val="en-US"/>
        </w:rPr>
        <w:t xml:space="preserve">whereas </w:t>
      </w:r>
      <w:r w:rsidR="00D735E2">
        <w:rPr>
          <w:lang w:val="en-US"/>
        </w:rPr>
        <w:t xml:space="preserve">additionally </w:t>
      </w:r>
      <w:r>
        <w:rPr>
          <w:lang w:val="en-US"/>
        </w:rPr>
        <w:t>25 met only the latter. Likewise, Ko and colleagues (2020) carried out diagnostic interviews with 69 individuals who met the “internet gaming disorder” criteria and found 44 of them also me</w:t>
      </w:r>
      <w:r w:rsidR="002F7DC4">
        <w:rPr>
          <w:lang w:val="en-US"/>
        </w:rPr>
        <w:t>t</w:t>
      </w:r>
      <w:r>
        <w:rPr>
          <w:lang w:val="en-US"/>
        </w:rPr>
        <w:t xml:space="preserve"> the “gaming disorder” criteria (cf. Figure 1). We did not find </w:t>
      </w:r>
      <w:r w:rsidR="0092568C">
        <w:rPr>
          <w:lang w:val="en-US"/>
        </w:rPr>
        <w:t>clinical</w:t>
      </w:r>
      <w:r>
        <w:rPr>
          <w:lang w:val="en-US"/>
        </w:rPr>
        <w:t xml:space="preserve"> studies between “game addiction” (DSM-IV pathological gambling based) and the later “internet gaming disorder” (DSM-5) and “gaming disorder” (ICD-11), however, our pilot data indicated that the latter two also meet the DSM-IV </w:t>
      </w:r>
      <w:r w:rsidR="00C06D99">
        <w:rPr>
          <w:lang w:val="en-US"/>
        </w:rPr>
        <w:t xml:space="preserve">based </w:t>
      </w:r>
      <w:r>
        <w:rPr>
          <w:lang w:val="en-US"/>
        </w:rPr>
        <w:t xml:space="preserve">criteria. We hence expect </w:t>
      </w:r>
      <w:r w:rsidR="004C1E42">
        <w:rPr>
          <w:lang w:val="en-US"/>
        </w:rPr>
        <w:t xml:space="preserve">our </w:t>
      </w:r>
      <w:r>
        <w:rPr>
          <w:lang w:val="en-US"/>
        </w:rPr>
        <w:t xml:space="preserve">three </w:t>
      </w:r>
      <w:r w:rsidR="004C1E42">
        <w:rPr>
          <w:lang w:val="en-US"/>
        </w:rPr>
        <w:t>related</w:t>
      </w:r>
      <w:r>
        <w:rPr>
          <w:lang w:val="en-US"/>
        </w:rPr>
        <w:t xml:space="preserve"> instruments to identify similarly overlapping groups.</w:t>
      </w:r>
      <w:r>
        <w:rPr>
          <w:i/>
          <w:lang w:val="en-US"/>
        </w:rPr>
        <w:t xml:space="preserve"> </w:t>
      </w:r>
      <w:r w:rsidR="00094034">
        <w:rPr>
          <w:lang w:val="en-US"/>
        </w:rPr>
        <w:t>The</w:t>
      </w:r>
      <w:r>
        <w:rPr>
          <w:lang w:val="en-US"/>
        </w:rPr>
        <w:t xml:space="preserve"> overlap</w:t>
      </w:r>
      <w:r w:rsidR="00094034">
        <w:rPr>
          <w:lang w:val="en-US"/>
        </w:rPr>
        <w:t xml:space="preserve"> of </w:t>
      </w:r>
      <w:r w:rsidR="00595783">
        <w:rPr>
          <w:lang w:val="en-US"/>
        </w:rPr>
        <w:t>S</w:t>
      </w:r>
      <w:r w:rsidR="00094034">
        <w:rPr>
          <w:lang w:val="en-US"/>
        </w:rPr>
        <w:t>elf-</w:t>
      </w:r>
      <w:proofErr w:type="gramStart"/>
      <w:r w:rsidR="00094034">
        <w:rPr>
          <w:lang w:val="en-US"/>
        </w:rPr>
        <w:t>assessment based</w:t>
      </w:r>
      <w:proofErr w:type="gramEnd"/>
      <w:r w:rsidR="00094034">
        <w:rPr>
          <w:lang w:val="en-US"/>
        </w:rPr>
        <w:t xml:space="preserve"> problems</w:t>
      </w:r>
      <w:r>
        <w:rPr>
          <w:lang w:val="en-US"/>
        </w:rPr>
        <w:t xml:space="preserve"> is reported exploratively. </w:t>
      </w:r>
    </w:p>
    <w:p w14:paraId="1C7A48D7" w14:textId="77777777" w:rsidR="00CE6598" w:rsidRDefault="00CE6598">
      <w:pPr>
        <w:jc w:val="both"/>
        <w:rPr>
          <w:lang w:val="en-US"/>
        </w:rPr>
      </w:pPr>
    </w:p>
    <w:p w14:paraId="56891F47" w14:textId="23528DA9" w:rsidR="004E1E9D" w:rsidRDefault="001832DA" w:rsidP="0092568C">
      <w:pPr>
        <w:jc w:val="both"/>
        <w:rPr>
          <w:b/>
          <w:bCs/>
          <w:lang w:val="en-US"/>
        </w:rPr>
      </w:pPr>
      <w:r w:rsidRPr="001832DA">
        <w:rPr>
          <w:lang w:val="en-US"/>
        </w:rPr>
        <w:t>Secondary hypothesis</w:t>
      </w:r>
      <w:r w:rsidR="004E1E9D">
        <w:rPr>
          <w:b/>
          <w:bCs/>
          <w:lang w:val="en-US"/>
        </w:rPr>
        <w:t xml:space="preserve">, </w:t>
      </w:r>
      <w:r w:rsidRPr="001832DA">
        <w:rPr>
          <w:lang w:val="en-US"/>
        </w:rPr>
        <w:t>medium confidence</w:t>
      </w:r>
      <w:r w:rsidR="004E1E9D">
        <w:rPr>
          <w:lang w:val="en-US"/>
        </w:rPr>
        <w:t>.</w:t>
      </w:r>
      <w:r>
        <w:rPr>
          <w:b/>
          <w:bCs/>
          <w:lang w:val="en-US"/>
        </w:rPr>
        <w:t xml:space="preserve"> </w:t>
      </w:r>
    </w:p>
    <w:p w14:paraId="1A492A83" w14:textId="600B3A85" w:rsidR="00CE6598" w:rsidRDefault="00836E32" w:rsidP="0092568C">
      <w:pPr>
        <w:jc w:val="both"/>
        <w:rPr>
          <w:lang w:val="en-US"/>
        </w:rPr>
      </w:pPr>
      <w:r>
        <w:rPr>
          <w:b/>
          <w:bCs/>
          <w:lang w:val="en-US"/>
        </w:rPr>
        <w:t>H2</w:t>
      </w:r>
      <w:r>
        <w:rPr>
          <w:lang w:val="en-US"/>
        </w:rPr>
        <w:t xml:space="preserve">: </w:t>
      </w:r>
      <w:r>
        <w:rPr>
          <w:i/>
          <w:lang w:val="en-US"/>
        </w:rPr>
        <w:t xml:space="preserve">We expect ICD-11, DSM-5, </w:t>
      </w:r>
      <w:r w:rsidR="00595783">
        <w:rPr>
          <w:i/>
          <w:lang w:val="en-US"/>
        </w:rPr>
        <w:t xml:space="preserve">and </w:t>
      </w:r>
      <w:r>
        <w:rPr>
          <w:i/>
          <w:lang w:val="en-US"/>
        </w:rPr>
        <w:t xml:space="preserve">DSM-IV based </w:t>
      </w:r>
      <w:r w:rsidR="00380F18">
        <w:rPr>
          <w:i/>
          <w:lang w:val="en-US"/>
        </w:rPr>
        <w:t>GRHPs</w:t>
      </w:r>
      <w:r>
        <w:rPr>
          <w:i/>
          <w:lang w:val="en-US"/>
        </w:rPr>
        <w:t xml:space="preserve"> to overlap. Those who meet the ICD-11 criteria also meet the DSM-5 criteria, and both above additionally meet the DSM-IV </w:t>
      </w:r>
      <w:r w:rsidR="00C06D99">
        <w:rPr>
          <w:i/>
          <w:lang w:val="en-US"/>
        </w:rPr>
        <w:t xml:space="preserve">based </w:t>
      </w:r>
      <w:r>
        <w:rPr>
          <w:i/>
          <w:lang w:val="en-US"/>
        </w:rPr>
        <w:t>criteria.</w:t>
      </w:r>
    </w:p>
    <w:p w14:paraId="664E378B" w14:textId="401DB8F6" w:rsidR="00B15977" w:rsidRPr="00B15977" w:rsidRDefault="00B15977" w:rsidP="00B15977">
      <w:pPr>
        <w:ind w:firstLine="720"/>
        <w:jc w:val="both"/>
        <w:rPr>
          <w:lang w:val="en-US"/>
        </w:rPr>
      </w:pPr>
      <w:r w:rsidRPr="00B15977">
        <w:rPr>
          <w:b/>
          <w:bCs/>
          <w:lang w:val="en-US"/>
        </w:rPr>
        <w:t>H2a</w:t>
      </w:r>
      <w:r w:rsidRPr="00B15977">
        <w:rPr>
          <w:lang w:val="en-US"/>
        </w:rPr>
        <w:t xml:space="preserve">: </w:t>
      </w:r>
      <w:r w:rsidRPr="00B15977">
        <w:rPr>
          <w:i/>
          <w:lang w:val="en-US"/>
        </w:rPr>
        <w:t>Those who meet the ICD-11 criteria also meet the DSM-5 criteria.</w:t>
      </w:r>
    </w:p>
    <w:p w14:paraId="61B5BF83" w14:textId="231CE178" w:rsidR="00B15977" w:rsidRPr="00B15977" w:rsidRDefault="00B15977" w:rsidP="00AF14E3">
      <w:pPr>
        <w:ind w:left="720"/>
        <w:jc w:val="both"/>
        <w:rPr>
          <w:lang w:val="en-US"/>
        </w:rPr>
      </w:pPr>
      <w:r w:rsidRPr="00B15977">
        <w:rPr>
          <w:b/>
          <w:bCs/>
          <w:lang w:val="en-US"/>
        </w:rPr>
        <w:t>H2b</w:t>
      </w:r>
      <w:r w:rsidRPr="00B15977">
        <w:rPr>
          <w:lang w:val="en-US"/>
        </w:rPr>
        <w:t xml:space="preserve">: </w:t>
      </w:r>
      <w:r w:rsidRPr="00B15977">
        <w:rPr>
          <w:i/>
          <w:lang w:val="en-US"/>
        </w:rPr>
        <w:t xml:space="preserve">Those who meet the ICD-11 and DSM-5 criteria also meet the DSM-IV </w:t>
      </w:r>
      <w:r w:rsidR="00C06D99">
        <w:rPr>
          <w:i/>
          <w:lang w:val="en-US"/>
        </w:rPr>
        <w:t xml:space="preserve">based </w:t>
      </w:r>
      <w:r w:rsidRPr="00B15977">
        <w:rPr>
          <w:i/>
          <w:lang w:val="en-US"/>
        </w:rPr>
        <w:t>criteria.</w:t>
      </w:r>
    </w:p>
    <w:p w14:paraId="03F0A53B" w14:textId="1480F3A3" w:rsidR="00CE6598" w:rsidRDefault="00CE6598">
      <w:pPr>
        <w:ind w:firstLine="720"/>
        <w:jc w:val="both"/>
        <w:rPr>
          <w:lang w:val="en-US"/>
        </w:rPr>
      </w:pPr>
    </w:p>
    <w:p w14:paraId="41FF8068" w14:textId="14F0044F" w:rsidR="00CE6598" w:rsidRDefault="00836E32">
      <w:pPr>
        <w:jc w:val="both"/>
        <w:rPr>
          <w:lang w:val="en-US"/>
        </w:rPr>
      </w:pPr>
      <w:r>
        <w:rPr>
          <w:lang w:val="en-US"/>
        </w:rPr>
        <w:t xml:space="preserve">Finally, we are interested in whether some groups are healthier than others. Because “gaming disorder” is </w:t>
      </w:r>
      <w:r w:rsidR="002A0E1B">
        <w:rPr>
          <w:lang w:val="en-US"/>
        </w:rPr>
        <w:t xml:space="preserve">conceptualized as </w:t>
      </w:r>
      <w:r>
        <w:rPr>
          <w:lang w:val="en-US"/>
        </w:rPr>
        <w:t xml:space="preserve">a mental disorder, we expect those identified by related screening tools to have lower mental health scores than the </w:t>
      </w:r>
      <w:r w:rsidR="004C1E42">
        <w:rPr>
          <w:lang w:val="en-US"/>
        </w:rPr>
        <w:t xml:space="preserve">general </w:t>
      </w:r>
      <w:r>
        <w:rPr>
          <w:lang w:val="en-US"/>
        </w:rPr>
        <w:t>population. Previous findings also imply similar patterns regard</w:t>
      </w:r>
      <w:r w:rsidR="002F7DC4">
        <w:rPr>
          <w:lang w:val="en-US"/>
        </w:rPr>
        <w:t>ing</w:t>
      </w:r>
      <w:r>
        <w:rPr>
          <w:lang w:val="en-US"/>
        </w:rPr>
        <w:t xml:space="preserve"> physical health (Puolitaival et al., 2020). Due to the small prevalence rates acquired in our pilot study (Appendix 1), we expect not to have sufficient power to </w:t>
      </w:r>
      <w:r w:rsidR="004C1E42">
        <w:rPr>
          <w:lang w:val="en-US"/>
        </w:rPr>
        <w:t xml:space="preserve">compare </w:t>
      </w:r>
      <w:r>
        <w:rPr>
          <w:lang w:val="en-US"/>
        </w:rPr>
        <w:t xml:space="preserve">health </w:t>
      </w:r>
      <w:r w:rsidR="004C1E42">
        <w:rPr>
          <w:lang w:val="en-US"/>
        </w:rPr>
        <w:t xml:space="preserve">in </w:t>
      </w:r>
      <w:r w:rsidR="00094034">
        <w:rPr>
          <w:lang w:val="en-US"/>
        </w:rPr>
        <w:t xml:space="preserve">ICD-11 </w:t>
      </w:r>
      <w:r>
        <w:rPr>
          <w:lang w:val="en-US"/>
        </w:rPr>
        <w:t xml:space="preserve">and </w:t>
      </w:r>
      <w:r w:rsidR="00094034">
        <w:rPr>
          <w:lang w:val="en-US"/>
        </w:rPr>
        <w:t xml:space="preserve">DSM-5 based constructs </w:t>
      </w:r>
      <w:r>
        <w:rPr>
          <w:lang w:val="en-US"/>
        </w:rPr>
        <w:t>at Stage 2</w:t>
      </w:r>
      <w:r w:rsidR="004C1E42">
        <w:rPr>
          <w:lang w:val="en-US"/>
        </w:rPr>
        <w:t>.</w:t>
      </w:r>
      <w:r>
        <w:rPr>
          <w:lang w:val="en-US"/>
        </w:rPr>
        <w:t xml:space="preserve"> </w:t>
      </w:r>
      <w:r w:rsidR="004C1E42">
        <w:rPr>
          <w:lang w:val="en-US"/>
        </w:rPr>
        <w:t>T</w:t>
      </w:r>
      <w:r>
        <w:rPr>
          <w:lang w:val="en-US"/>
        </w:rPr>
        <w:t>hus</w:t>
      </w:r>
      <w:r w:rsidR="0092568C">
        <w:rPr>
          <w:lang w:val="en-US"/>
        </w:rPr>
        <w:t>,</w:t>
      </w:r>
      <w:r>
        <w:rPr>
          <w:lang w:val="en-US"/>
        </w:rPr>
        <w:t xml:space="preserve"> we set a hypothesis </w:t>
      </w:r>
      <w:r w:rsidR="004C1E42">
        <w:rPr>
          <w:lang w:val="en-US"/>
        </w:rPr>
        <w:t>on the other two constructs alone</w:t>
      </w:r>
      <w:r>
        <w:rPr>
          <w:lang w:val="en-US"/>
        </w:rPr>
        <w:t xml:space="preserve">. </w:t>
      </w:r>
      <w:r w:rsidR="00A956AA">
        <w:rPr>
          <w:lang w:val="en-US"/>
        </w:rPr>
        <w:t xml:space="preserve">As our pilot gave mixed evidence on the health of those with Self-assessed gaming problems, we set competing H0s.  </w:t>
      </w:r>
    </w:p>
    <w:p w14:paraId="01EDE390" w14:textId="77777777" w:rsidR="00CE6598" w:rsidRDefault="00CE6598">
      <w:pPr>
        <w:jc w:val="both"/>
        <w:rPr>
          <w:lang w:val="en-US"/>
        </w:rPr>
      </w:pPr>
    </w:p>
    <w:p w14:paraId="5BD73CC8" w14:textId="77777777" w:rsidR="004E1E9D" w:rsidRDefault="001832DA" w:rsidP="0092568C">
      <w:pPr>
        <w:jc w:val="both"/>
        <w:rPr>
          <w:lang w:val="en-US"/>
        </w:rPr>
      </w:pPr>
      <w:r w:rsidRPr="004E1E9D">
        <w:rPr>
          <w:lang w:val="en-US"/>
        </w:rPr>
        <w:t>Tertiary hypothesis,</w:t>
      </w:r>
      <w:r w:rsidR="004E1E9D" w:rsidRPr="004E1E9D">
        <w:rPr>
          <w:lang w:val="en-US"/>
        </w:rPr>
        <w:t xml:space="preserve"> mild confidence.</w:t>
      </w:r>
      <w:r w:rsidRPr="004E1E9D">
        <w:rPr>
          <w:lang w:val="en-US"/>
        </w:rPr>
        <w:t xml:space="preserve"> </w:t>
      </w:r>
    </w:p>
    <w:p w14:paraId="1E3FAD42" w14:textId="6798A2AF" w:rsidR="00CE6598" w:rsidRDefault="00836E32" w:rsidP="0092568C">
      <w:pPr>
        <w:jc w:val="both"/>
        <w:rPr>
          <w:i/>
          <w:lang w:val="en-US"/>
        </w:rPr>
      </w:pPr>
      <w:r>
        <w:rPr>
          <w:b/>
          <w:bCs/>
          <w:lang w:val="en-US"/>
        </w:rPr>
        <w:t>H3</w:t>
      </w:r>
      <w:r>
        <w:rPr>
          <w:lang w:val="en-US"/>
        </w:rPr>
        <w:t xml:space="preserve">: </w:t>
      </w:r>
      <w:r>
        <w:rPr>
          <w:i/>
          <w:lang w:val="en-US"/>
        </w:rPr>
        <w:t xml:space="preserve">We expect those with DSM-IV and </w:t>
      </w:r>
      <w:r w:rsidR="00595783">
        <w:rPr>
          <w:i/>
          <w:lang w:val="en-US"/>
        </w:rPr>
        <w:t>S</w:t>
      </w:r>
      <w:r>
        <w:rPr>
          <w:i/>
          <w:lang w:val="en-US"/>
        </w:rPr>
        <w:t xml:space="preserve">elf-assessment based </w:t>
      </w:r>
      <w:r w:rsidR="00380F18">
        <w:rPr>
          <w:i/>
          <w:lang w:val="en-US"/>
        </w:rPr>
        <w:t xml:space="preserve">GRHPs </w:t>
      </w:r>
      <w:r>
        <w:rPr>
          <w:i/>
          <w:lang w:val="en-US"/>
        </w:rPr>
        <w:t>to have (equally) lower health in comparison to the general population.</w:t>
      </w:r>
    </w:p>
    <w:p w14:paraId="5E78B389" w14:textId="07E8ABDF" w:rsidR="00A74A7D" w:rsidRDefault="00A74A7D" w:rsidP="00A74A7D">
      <w:pPr>
        <w:ind w:left="720"/>
        <w:jc w:val="both"/>
        <w:rPr>
          <w:rFonts w:eastAsia="Gungsuh"/>
          <w:b/>
          <w:bCs/>
          <w:i/>
          <w:lang w:val="en-US"/>
        </w:rPr>
      </w:pPr>
      <w:r>
        <w:rPr>
          <w:b/>
          <w:bCs/>
          <w:lang w:val="en-US"/>
        </w:rPr>
        <w:t>H3a</w:t>
      </w:r>
      <w:r>
        <w:rPr>
          <w:lang w:val="en-US"/>
        </w:rPr>
        <w:t xml:space="preserve">: </w:t>
      </w:r>
      <w:r>
        <w:rPr>
          <w:rFonts w:eastAsia="Gungsuh"/>
          <w:i/>
          <w:lang w:val="en-US"/>
        </w:rPr>
        <w:t xml:space="preserve">We expect those with DSM-IV based </w:t>
      </w:r>
      <w:r w:rsidR="00380F18">
        <w:rPr>
          <w:rFonts w:eastAsia="Gungsuh"/>
          <w:i/>
          <w:lang w:val="en-US"/>
        </w:rPr>
        <w:t>GRHPs</w:t>
      </w:r>
      <w:r>
        <w:rPr>
          <w:rFonts w:eastAsia="Gungsuh"/>
          <w:i/>
          <w:lang w:val="en-US"/>
        </w:rPr>
        <w:t xml:space="preserve"> to have </w:t>
      </w:r>
      <w:r w:rsidR="0092568C">
        <w:rPr>
          <w:rFonts w:eastAsia="Gungsuh"/>
          <w:i/>
          <w:lang w:val="en-US"/>
        </w:rPr>
        <w:t xml:space="preserve">meaningfully </w:t>
      </w:r>
      <w:r>
        <w:rPr>
          <w:rFonts w:eastAsia="Gungsuh"/>
          <w:i/>
          <w:lang w:val="en-US"/>
        </w:rPr>
        <w:t>lower mental or physical health in comparison to the general population.</w:t>
      </w:r>
    </w:p>
    <w:p w14:paraId="578C6FF3" w14:textId="67331583" w:rsidR="00A74A7D" w:rsidRDefault="00A74A7D" w:rsidP="00A74A7D">
      <w:pPr>
        <w:ind w:left="720"/>
        <w:jc w:val="both"/>
        <w:rPr>
          <w:lang w:val="en-US"/>
        </w:rPr>
      </w:pPr>
      <w:r>
        <w:rPr>
          <w:b/>
          <w:bCs/>
          <w:lang w:val="en-US"/>
        </w:rPr>
        <w:t>H3b</w:t>
      </w:r>
      <w:r w:rsidR="00AD0527">
        <w:rPr>
          <w:b/>
          <w:bCs/>
          <w:lang w:val="en-US"/>
        </w:rPr>
        <w:t>/</w:t>
      </w:r>
      <w:r w:rsidR="00A956AA">
        <w:rPr>
          <w:b/>
          <w:bCs/>
          <w:lang w:val="en-US"/>
        </w:rPr>
        <w:t>H0</w:t>
      </w:r>
      <w:r>
        <w:rPr>
          <w:lang w:val="en-US"/>
        </w:rPr>
        <w:t xml:space="preserve">: </w:t>
      </w:r>
      <w:r>
        <w:rPr>
          <w:rFonts w:eastAsia="Gungsuh"/>
          <w:i/>
          <w:lang w:val="en-US"/>
        </w:rPr>
        <w:t xml:space="preserve">We expect those who </w:t>
      </w:r>
      <w:r w:rsidR="00595783">
        <w:rPr>
          <w:rFonts w:eastAsia="Gungsuh"/>
          <w:i/>
          <w:lang w:val="en-US"/>
        </w:rPr>
        <w:t>S</w:t>
      </w:r>
      <w:r>
        <w:rPr>
          <w:rFonts w:eastAsia="Gungsuh"/>
          <w:i/>
          <w:lang w:val="en-US"/>
        </w:rPr>
        <w:t xml:space="preserve">elf-assess </w:t>
      </w:r>
      <w:r w:rsidR="00283369">
        <w:rPr>
          <w:rFonts w:eastAsia="Gungsuh"/>
          <w:i/>
          <w:lang w:val="en-US"/>
        </w:rPr>
        <w:t>that they have</w:t>
      </w:r>
      <w:r>
        <w:rPr>
          <w:rFonts w:eastAsia="Gungsuh"/>
          <w:i/>
          <w:lang w:val="en-US"/>
        </w:rPr>
        <w:t xml:space="preserve"> gaming problems to have </w:t>
      </w:r>
      <w:r w:rsidR="00773361">
        <w:rPr>
          <w:rFonts w:eastAsia="Gungsuh"/>
          <w:i/>
          <w:lang w:val="en-US"/>
        </w:rPr>
        <w:t xml:space="preserve">meaningfully </w:t>
      </w:r>
      <w:r>
        <w:rPr>
          <w:rFonts w:eastAsia="Gungsuh"/>
          <w:i/>
          <w:lang w:val="en-US"/>
        </w:rPr>
        <w:t>lower mental or physical health in comparison to the general population.</w:t>
      </w:r>
    </w:p>
    <w:p w14:paraId="37F352B0" w14:textId="4AEBFA84" w:rsidR="00A74A7D" w:rsidRPr="004E1E9D" w:rsidRDefault="00A74A7D" w:rsidP="004E1E9D">
      <w:pPr>
        <w:ind w:left="720"/>
        <w:jc w:val="both"/>
        <w:rPr>
          <w:color w:val="000000" w:themeColor="text1"/>
          <w:lang w:val="en-US"/>
        </w:rPr>
      </w:pPr>
      <w:r>
        <w:rPr>
          <w:b/>
          <w:bCs/>
          <w:color w:val="000000" w:themeColor="text1"/>
          <w:lang w:val="en-US"/>
        </w:rPr>
        <w:t>H3c</w:t>
      </w:r>
      <w:r w:rsidR="00A956AA">
        <w:rPr>
          <w:b/>
          <w:bCs/>
          <w:color w:val="000000" w:themeColor="text1"/>
          <w:lang w:val="en-US"/>
        </w:rPr>
        <w:t>/H0</w:t>
      </w:r>
      <w:r>
        <w:rPr>
          <w:color w:val="000000" w:themeColor="text1"/>
          <w:lang w:val="en-US"/>
        </w:rPr>
        <w:t xml:space="preserve">: </w:t>
      </w:r>
      <w:r>
        <w:rPr>
          <w:i/>
          <w:color w:val="000000" w:themeColor="text1"/>
          <w:lang w:val="en-US"/>
        </w:rPr>
        <w:t xml:space="preserve">We expect the mental and physical health of those with DSM-IV and </w:t>
      </w:r>
      <w:r w:rsidR="00595783">
        <w:rPr>
          <w:i/>
          <w:color w:val="000000" w:themeColor="text1"/>
          <w:lang w:val="en-US"/>
        </w:rPr>
        <w:t>S</w:t>
      </w:r>
      <w:r>
        <w:rPr>
          <w:i/>
          <w:color w:val="000000" w:themeColor="text1"/>
          <w:lang w:val="en-US"/>
        </w:rPr>
        <w:t xml:space="preserve">elf-assessment based </w:t>
      </w:r>
      <w:r w:rsidR="00380F18">
        <w:rPr>
          <w:i/>
          <w:color w:val="000000" w:themeColor="text1"/>
          <w:lang w:val="en-US"/>
        </w:rPr>
        <w:t>GRHPs</w:t>
      </w:r>
      <w:r>
        <w:rPr>
          <w:i/>
          <w:color w:val="000000" w:themeColor="text1"/>
          <w:lang w:val="en-US"/>
        </w:rPr>
        <w:t xml:space="preserve"> to be </w:t>
      </w:r>
      <w:r w:rsidR="00773361">
        <w:rPr>
          <w:i/>
          <w:color w:val="000000" w:themeColor="text1"/>
          <w:lang w:val="en-US"/>
        </w:rPr>
        <w:t xml:space="preserve">meaningfully </w:t>
      </w:r>
      <w:r w:rsidR="00295CED">
        <w:rPr>
          <w:i/>
          <w:color w:val="000000" w:themeColor="text1"/>
          <w:lang w:val="en-US"/>
        </w:rPr>
        <w:t>different</w:t>
      </w:r>
      <w:r>
        <w:rPr>
          <w:i/>
          <w:color w:val="000000" w:themeColor="text1"/>
          <w:lang w:val="en-US"/>
        </w:rPr>
        <w:t xml:space="preserve">. </w:t>
      </w:r>
    </w:p>
    <w:p w14:paraId="72A8EE64" w14:textId="01697C76" w:rsidR="00CE6598" w:rsidRDefault="00CE6598">
      <w:pPr>
        <w:jc w:val="both"/>
        <w:rPr>
          <w:lang w:val="en-US"/>
        </w:rPr>
      </w:pPr>
    </w:p>
    <w:p w14:paraId="55CE77B3" w14:textId="77777777" w:rsidR="00CE6598" w:rsidRDefault="00836E32">
      <w:pPr>
        <w:jc w:val="both"/>
        <w:rPr>
          <w:b/>
          <w:lang w:val="en-US"/>
        </w:rPr>
      </w:pPr>
      <w:r>
        <w:rPr>
          <w:b/>
          <w:lang w:val="en-US"/>
        </w:rPr>
        <w:t>Methods</w:t>
      </w:r>
    </w:p>
    <w:p w14:paraId="73ED6C1C" w14:textId="05D26D72" w:rsidR="00CE6598" w:rsidRDefault="00836E32">
      <w:pPr>
        <w:jc w:val="both"/>
        <w:rPr>
          <w:lang w:val="en-US"/>
        </w:rPr>
      </w:pPr>
      <w:r>
        <w:rPr>
          <w:lang w:val="en-US"/>
        </w:rPr>
        <w:t xml:space="preserve">This study received a positive appraisal from the Human Sciences and Ethics Committee of the University of </w:t>
      </w:r>
      <w:proofErr w:type="spellStart"/>
      <w:r>
        <w:rPr>
          <w:lang w:val="en-US"/>
        </w:rPr>
        <w:t>Jyväskyla</w:t>
      </w:r>
      <w:proofErr w:type="spellEnd"/>
      <w:r>
        <w:rPr>
          <w:lang w:val="en-US"/>
        </w:rPr>
        <w:t xml:space="preserve">̈ in 2021. The research will be carried out according to the Finnish National Board on Research Integrity guidelines and the Helsinki Declaration with its later amendments. A pilot study was carried out to set </w:t>
      </w:r>
      <w:r w:rsidR="00951F1B">
        <w:rPr>
          <w:lang w:val="en-US"/>
        </w:rPr>
        <w:t xml:space="preserve">informed </w:t>
      </w:r>
      <w:r>
        <w:rPr>
          <w:lang w:val="en-US"/>
        </w:rPr>
        <w:t>hypotheses (Appendix 1).</w:t>
      </w:r>
    </w:p>
    <w:p w14:paraId="76595665" w14:textId="77777777" w:rsidR="00CE6598" w:rsidRDefault="00CE6598">
      <w:pPr>
        <w:jc w:val="both"/>
        <w:rPr>
          <w:b/>
          <w:bCs/>
          <w:i/>
          <w:lang w:val="en-US"/>
        </w:rPr>
      </w:pPr>
    </w:p>
    <w:p w14:paraId="5C545401" w14:textId="77777777" w:rsidR="00CE6598" w:rsidRDefault="00836E32">
      <w:pPr>
        <w:jc w:val="both"/>
        <w:rPr>
          <w:b/>
          <w:bCs/>
          <w:i/>
          <w:lang w:val="en-US"/>
        </w:rPr>
      </w:pPr>
      <w:r>
        <w:rPr>
          <w:b/>
          <w:bCs/>
          <w:i/>
          <w:lang w:val="en-US"/>
        </w:rPr>
        <w:t>Design</w:t>
      </w:r>
    </w:p>
    <w:p w14:paraId="4C2C6C5A" w14:textId="77CEA420" w:rsidR="00CE6598" w:rsidRDefault="00836E32">
      <w:pPr>
        <w:jc w:val="both"/>
        <w:rPr>
          <w:lang w:val="en-US"/>
        </w:rPr>
      </w:pPr>
      <w:r>
        <w:rPr>
          <w:lang w:val="en-US"/>
        </w:rPr>
        <w:t>We will collect a Finnish survey sample (</w:t>
      </w:r>
      <w:r>
        <w:rPr>
          <w:i/>
          <w:lang w:val="en-US"/>
        </w:rPr>
        <w:t>N</w:t>
      </w:r>
      <w:r>
        <w:rPr>
          <w:lang w:val="en-US"/>
        </w:rPr>
        <w:t xml:space="preserve">=8000) by using the services of </w:t>
      </w:r>
      <w:r w:rsidR="00951F1B">
        <w:rPr>
          <w:lang w:val="en-US"/>
        </w:rPr>
        <w:t>a company specialized in surveys (</w:t>
      </w:r>
      <w:r>
        <w:rPr>
          <w:lang w:val="en-US"/>
        </w:rPr>
        <w:t>Bilendi</w:t>
      </w:r>
      <w:r w:rsidR="00951F1B">
        <w:rPr>
          <w:lang w:val="en-US"/>
        </w:rPr>
        <w:t>, Appendix 1)</w:t>
      </w:r>
      <w:r>
        <w:rPr>
          <w:lang w:val="en-US"/>
        </w:rPr>
        <w:t>. The sample will be representative of the Finnish population by gender and region (four regions in Finland) between ages 16 and 65.</w:t>
      </w:r>
    </w:p>
    <w:p w14:paraId="30202085" w14:textId="6525AFC4" w:rsidR="00CE6598" w:rsidRDefault="00836E32" w:rsidP="00833AE6">
      <w:pPr>
        <w:ind w:firstLine="720"/>
        <w:jc w:val="both"/>
        <w:rPr>
          <w:lang w:val="en-US"/>
        </w:rPr>
      </w:pPr>
      <w:r>
        <w:rPr>
          <w:b/>
          <w:lang w:val="en-US"/>
        </w:rPr>
        <w:t>H1</w:t>
      </w:r>
      <w:r>
        <w:rPr>
          <w:lang w:val="en-US"/>
        </w:rPr>
        <w:t xml:space="preserve">. Among adolescents, </w:t>
      </w:r>
      <w:r w:rsidR="00773361">
        <w:rPr>
          <w:lang w:val="en-US"/>
        </w:rPr>
        <w:t>GRHPs</w:t>
      </w:r>
      <w:r w:rsidR="00E831E4">
        <w:rPr>
          <w:lang w:val="en-US"/>
        </w:rPr>
        <w:t xml:space="preserve"> </w:t>
      </w:r>
      <w:r>
        <w:rPr>
          <w:lang w:val="en-US"/>
        </w:rPr>
        <w:t xml:space="preserve">have been found to be </w:t>
      </w:r>
      <w:r w:rsidR="00E831E4">
        <w:rPr>
          <w:lang w:val="en-US"/>
        </w:rPr>
        <w:t xml:space="preserve">more common </w:t>
      </w:r>
      <w:r>
        <w:rPr>
          <w:lang w:val="en-US"/>
        </w:rPr>
        <w:t xml:space="preserve">than in older groups (e.g., Stevens et al. 2020). Due to the upcoming sample including individuals younger than 18, we expect our adult pilot data prevalence rates to be lower than the ones we will receive next. We have no reason to believe this to notably influence the ratios between the prevalence rates of the four instruments. </w:t>
      </w:r>
      <w:r w:rsidR="00B1635D">
        <w:rPr>
          <w:lang w:val="en-US"/>
        </w:rPr>
        <w:t>W</w:t>
      </w:r>
      <w:r>
        <w:rPr>
          <w:lang w:val="en-US"/>
        </w:rPr>
        <w:t xml:space="preserve">e expect the differences between the prevalence rates to cohere with those in the pilot (Table 1 in Appendix 1) so that the proportions identified by ICD-11 and the DSM-5 based instruments are meaningfully smaller than those identified by DSM-IV and </w:t>
      </w:r>
      <w:r w:rsidR="00595783">
        <w:rPr>
          <w:lang w:val="en-US"/>
        </w:rPr>
        <w:t>S</w:t>
      </w:r>
      <w:r>
        <w:rPr>
          <w:lang w:val="en-US"/>
        </w:rPr>
        <w:t>elf-</w:t>
      </w:r>
      <w:proofErr w:type="gramStart"/>
      <w:r>
        <w:rPr>
          <w:lang w:val="en-US"/>
        </w:rPr>
        <w:t>assessment based</w:t>
      </w:r>
      <w:proofErr w:type="gramEnd"/>
      <w:r>
        <w:rPr>
          <w:lang w:val="en-US"/>
        </w:rPr>
        <w:t xml:space="preserve"> instruments</w:t>
      </w:r>
      <w:r w:rsidR="00B15977">
        <w:rPr>
          <w:lang w:val="en-US"/>
        </w:rPr>
        <w:t xml:space="preserve"> (H1a–d)</w:t>
      </w:r>
      <w:r>
        <w:rPr>
          <w:lang w:val="en-US"/>
        </w:rPr>
        <w:t>.</w:t>
      </w:r>
      <w:r w:rsidR="00833AE6">
        <w:rPr>
          <w:lang w:val="en-US"/>
        </w:rPr>
        <w:t xml:space="preserve"> </w:t>
      </w:r>
      <w:r>
        <w:rPr>
          <w:lang w:val="en-US"/>
        </w:rPr>
        <w:t>To test the hypotheses, we use a</w:t>
      </w:r>
      <w:r w:rsidR="008D095F">
        <w:rPr>
          <w:lang w:val="en-US"/>
        </w:rPr>
        <w:t>n interval-based</w:t>
      </w:r>
      <w:r>
        <w:rPr>
          <w:lang w:val="en-US"/>
        </w:rPr>
        <w:t xml:space="preserve"> method</w:t>
      </w:r>
      <w:r w:rsidR="008D095F">
        <w:rPr>
          <w:lang w:val="en-US"/>
        </w:rPr>
        <w:t>, as</w:t>
      </w:r>
      <w:r>
        <w:rPr>
          <w:lang w:val="en-US"/>
        </w:rPr>
        <w:t xml:space="preserve"> described in Dienes (2021</w:t>
      </w:r>
      <w:r w:rsidR="00380F18">
        <w:rPr>
          <w:lang w:val="en-US"/>
        </w:rPr>
        <w:t>)</w:t>
      </w:r>
      <w:r w:rsidR="000D7F1A">
        <w:rPr>
          <w:lang w:val="en-US"/>
        </w:rPr>
        <w:t xml:space="preserve"> </w:t>
      </w:r>
      <w:r w:rsidR="00380F18">
        <w:rPr>
          <w:lang w:val="en-US"/>
        </w:rPr>
        <w:t xml:space="preserve">(see </w:t>
      </w:r>
      <w:proofErr w:type="spellStart"/>
      <w:r w:rsidR="000D7F1A">
        <w:rPr>
          <w:lang w:val="en-US"/>
        </w:rPr>
        <w:t>Neyman</w:t>
      </w:r>
      <w:proofErr w:type="spellEnd"/>
      <w:r w:rsidR="000D7F1A">
        <w:rPr>
          <w:lang w:val="en-US"/>
        </w:rPr>
        <w:t xml:space="preserve"> &amp; Pearson 1933</w:t>
      </w:r>
      <w:r>
        <w:rPr>
          <w:lang w:val="en-US"/>
        </w:rPr>
        <w:t xml:space="preserve">). </w:t>
      </w:r>
      <w:r w:rsidR="008D095F">
        <w:rPr>
          <w:lang w:val="en-US"/>
        </w:rPr>
        <w:t xml:space="preserve">We set the H0 </w:t>
      </w:r>
      <w:r w:rsidR="000D7F1A">
        <w:rPr>
          <w:lang w:val="en-US"/>
        </w:rPr>
        <w:t xml:space="preserve">critical region </w:t>
      </w:r>
      <w:r w:rsidR="00971850">
        <w:rPr>
          <w:lang w:val="en-US"/>
        </w:rPr>
        <w:t xml:space="preserve">(null corroboration) </w:t>
      </w:r>
      <w:r w:rsidR="008D095F">
        <w:rPr>
          <w:lang w:val="en-US"/>
        </w:rPr>
        <w:t xml:space="preserve">to the </w:t>
      </w:r>
      <w:r w:rsidR="00971850">
        <w:rPr>
          <w:lang w:val="en-US"/>
        </w:rPr>
        <w:t xml:space="preserve">lower bound of 95% CI in the smallest obtained </w:t>
      </w:r>
      <w:r w:rsidR="008D095F">
        <w:rPr>
          <w:lang w:val="en-US"/>
        </w:rPr>
        <w:t>prevalence rate</w:t>
      </w:r>
      <w:r w:rsidR="00971850">
        <w:rPr>
          <w:lang w:val="en-US"/>
        </w:rPr>
        <w:t xml:space="preserve"> </w:t>
      </w:r>
      <w:r w:rsidR="008D095F">
        <w:rPr>
          <w:lang w:val="en-US"/>
        </w:rPr>
        <w:t xml:space="preserve">and the H1 </w:t>
      </w:r>
      <w:r w:rsidR="00971850">
        <w:rPr>
          <w:lang w:val="en-US"/>
        </w:rPr>
        <w:t>acceptance region</w:t>
      </w:r>
      <w:r w:rsidR="008D095F">
        <w:rPr>
          <w:lang w:val="en-US"/>
        </w:rPr>
        <w:t xml:space="preserve"> </w:t>
      </w:r>
      <w:r w:rsidR="00971850">
        <w:rPr>
          <w:lang w:val="en-US"/>
        </w:rPr>
        <w:t xml:space="preserve">twice </w:t>
      </w:r>
      <w:r w:rsidR="008D095F">
        <w:rPr>
          <w:lang w:val="en-US"/>
        </w:rPr>
        <w:t xml:space="preserve">above </w:t>
      </w:r>
      <w:r w:rsidR="00971850">
        <w:rPr>
          <w:lang w:val="en-US"/>
        </w:rPr>
        <w:t>the upper bound of 95% CI in that</w:t>
      </w:r>
      <w:r w:rsidR="008D095F">
        <w:rPr>
          <w:lang w:val="en-US"/>
        </w:rPr>
        <w:t xml:space="preserve"> prevalence rate. </w:t>
      </w:r>
      <w:r w:rsidR="00EE3C81">
        <w:rPr>
          <w:lang w:val="en-US"/>
        </w:rPr>
        <w:t xml:space="preserve">The </w:t>
      </w:r>
      <w:r w:rsidR="00D06496">
        <w:rPr>
          <w:lang w:val="en-US"/>
        </w:rPr>
        <w:t>range</w:t>
      </w:r>
      <w:r w:rsidR="00EE3C81">
        <w:rPr>
          <w:lang w:val="en-US"/>
        </w:rPr>
        <w:t xml:space="preserve"> between these intervals represents an inconclusive </w:t>
      </w:r>
      <w:r w:rsidR="000D7F1A">
        <w:rPr>
          <w:lang w:val="en-US"/>
        </w:rPr>
        <w:t>region of doubt</w:t>
      </w:r>
      <w:r w:rsidR="00EE3C81">
        <w:rPr>
          <w:lang w:val="en-US"/>
        </w:rPr>
        <w:t xml:space="preserve">. </w:t>
      </w:r>
      <w:r w:rsidR="008D095F">
        <w:rPr>
          <w:lang w:val="en-US"/>
        </w:rPr>
        <w:t xml:space="preserve">If the </w:t>
      </w:r>
      <w:r w:rsidR="00EE3C81">
        <w:rPr>
          <w:lang w:val="en-US"/>
        </w:rPr>
        <w:t xml:space="preserve">95% </w:t>
      </w:r>
      <w:r w:rsidR="008D095F">
        <w:rPr>
          <w:lang w:val="en-US"/>
        </w:rPr>
        <w:t>confidence interval</w:t>
      </w:r>
      <w:r w:rsidR="00EE3C81">
        <w:rPr>
          <w:lang w:val="en-US"/>
        </w:rPr>
        <w:t>s</w:t>
      </w:r>
      <w:r w:rsidR="008D095F">
        <w:rPr>
          <w:lang w:val="en-US"/>
        </w:rPr>
        <w:t xml:space="preserve"> of the </w:t>
      </w:r>
      <w:r w:rsidR="00EE3C81">
        <w:rPr>
          <w:lang w:val="en-US"/>
        </w:rPr>
        <w:t xml:space="preserve">H1a–d </w:t>
      </w:r>
      <w:r w:rsidR="008D095F">
        <w:rPr>
          <w:lang w:val="en-US"/>
        </w:rPr>
        <w:t>effect</w:t>
      </w:r>
      <w:r w:rsidR="00EE3C81">
        <w:rPr>
          <w:lang w:val="en-US"/>
        </w:rPr>
        <w:t>s</w:t>
      </w:r>
      <w:r w:rsidR="008D095F">
        <w:rPr>
          <w:lang w:val="en-US"/>
        </w:rPr>
        <w:t xml:space="preserve"> (difference</w:t>
      </w:r>
      <w:r w:rsidR="00EE3C81">
        <w:rPr>
          <w:lang w:val="en-US"/>
        </w:rPr>
        <w:t>s</w:t>
      </w:r>
      <w:r w:rsidR="008D095F">
        <w:rPr>
          <w:lang w:val="en-US"/>
        </w:rPr>
        <w:t xml:space="preserve"> between prevalence rates) overlap mainly with </w:t>
      </w:r>
      <w:r w:rsidR="00A74E86">
        <w:rPr>
          <w:lang w:val="en-US"/>
        </w:rPr>
        <w:t xml:space="preserve">the </w:t>
      </w:r>
      <w:r w:rsidR="008D095F">
        <w:rPr>
          <w:lang w:val="en-US"/>
        </w:rPr>
        <w:t xml:space="preserve">H0 </w:t>
      </w:r>
      <w:r w:rsidR="008D095F" w:rsidRPr="00A74E86">
        <w:rPr>
          <w:lang w:val="en-US"/>
        </w:rPr>
        <w:t>or</w:t>
      </w:r>
      <w:r w:rsidR="008D095F">
        <w:rPr>
          <w:lang w:val="en-US"/>
        </w:rPr>
        <w:t xml:space="preserve"> </w:t>
      </w:r>
      <w:r w:rsidR="00A74E86">
        <w:rPr>
          <w:lang w:val="en-US"/>
        </w:rPr>
        <w:t xml:space="preserve">the </w:t>
      </w:r>
      <w:r w:rsidR="008D095F">
        <w:rPr>
          <w:lang w:val="en-US"/>
        </w:rPr>
        <w:t>H1</w:t>
      </w:r>
      <w:r w:rsidR="00A74E86">
        <w:rPr>
          <w:lang w:val="en-US"/>
        </w:rPr>
        <w:t xml:space="preserve"> interval</w:t>
      </w:r>
      <w:r w:rsidR="008D095F">
        <w:rPr>
          <w:lang w:val="en-US"/>
        </w:rPr>
        <w:t>, th</w:t>
      </w:r>
      <w:r w:rsidR="00A74E86">
        <w:rPr>
          <w:lang w:val="en-US"/>
        </w:rPr>
        <w:t>e</w:t>
      </w:r>
      <w:r w:rsidR="00EE3C81">
        <w:rPr>
          <w:lang w:val="en-US"/>
        </w:rPr>
        <w:t xml:space="preserve"> hypotheses</w:t>
      </w:r>
      <w:r w:rsidR="00A74E86">
        <w:rPr>
          <w:lang w:val="en-US"/>
        </w:rPr>
        <w:t xml:space="preserve"> are corroborated, respectively</w:t>
      </w:r>
      <w:r>
        <w:rPr>
          <w:lang w:val="en-US"/>
        </w:rPr>
        <w:t>.</w:t>
      </w:r>
      <w:r w:rsidR="00EE3C81">
        <w:rPr>
          <w:lang w:val="en-US"/>
        </w:rPr>
        <w:t xml:space="preserve"> If the 95% confidence intervals of the effects (differences between prevalence rates) overlap mainly with the </w:t>
      </w:r>
      <w:r w:rsidR="00B1635D">
        <w:rPr>
          <w:lang w:val="en-US"/>
        </w:rPr>
        <w:t>region of doubt</w:t>
      </w:r>
      <w:r w:rsidR="00EE3C81">
        <w:rPr>
          <w:lang w:val="en-US"/>
        </w:rPr>
        <w:t xml:space="preserve">, </w:t>
      </w:r>
      <w:r w:rsidR="006B0EF6">
        <w:rPr>
          <w:lang w:val="en-US"/>
        </w:rPr>
        <w:t xml:space="preserve">neither H0 nor H1 </w:t>
      </w:r>
      <w:r w:rsidR="00EE3C81">
        <w:rPr>
          <w:lang w:val="en-US"/>
        </w:rPr>
        <w:t>will be corroborated.</w:t>
      </w:r>
      <w:r>
        <w:rPr>
          <w:lang w:val="en-US"/>
        </w:rPr>
        <w:t xml:space="preserve"> </w:t>
      </w:r>
      <w:r w:rsidR="00A74E86">
        <w:rPr>
          <w:lang w:val="en-US"/>
        </w:rPr>
        <w:t>H1a–d</w:t>
      </w:r>
      <w:r>
        <w:rPr>
          <w:lang w:val="en-US"/>
        </w:rPr>
        <w:t xml:space="preserve"> corroborations would support the position that ICD-11 and DSM-5 based constructs differ from DSM-IV and </w:t>
      </w:r>
      <w:r w:rsidR="00595783">
        <w:rPr>
          <w:lang w:val="en-US"/>
        </w:rPr>
        <w:t>S</w:t>
      </w:r>
      <w:r>
        <w:rPr>
          <w:lang w:val="en-US"/>
        </w:rPr>
        <w:t>elf-</w:t>
      </w:r>
      <w:proofErr w:type="gramStart"/>
      <w:r>
        <w:rPr>
          <w:lang w:val="en-US"/>
        </w:rPr>
        <w:t>assess</w:t>
      </w:r>
      <w:r w:rsidR="00B1635D">
        <w:rPr>
          <w:lang w:val="en-US"/>
        </w:rPr>
        <w:t>ment based</w:t>
      </w:r>
      <w:proofErr w:type="gramEnd"/>
      <w:r>
        <w:rPr>
          <w:lang w:val="en-US"/>
        </w:rPr>
        <w:t xml:space="preserve"> gaming problem constructs in terms of prevalence. Due to </w:t>
      </w:r>
      <w:r w:rsidR="00A74E86">
        <w:rPr>
          <w:lang w:val="en-US"/>
        </w:rPr>
        <w:t xml:space="preserve">lacking pilot support for ICD-11 and DSM-5 </w:t>
      </w:r>
      <w:r w:rsidR="002F5735">
        <w:rPr>
          <w:lang w:val="en-US"/>
        </w:rPr>
        <w:t xml:space="preserve">prevalence </w:t>
      </w:r>
      <w:r w:rsidR="00A74E86">
        <w:rPr>
          <w:lang w:val="en-US"/>
        </w:rPr>
        <w:t>differences</w:t>
      </w:r>
      <w:r>
        <w:rPr>
          <w:lang w:val="en-US"/>
        </w:rPr>
        <w:t xml:space="preserve">, we do not </w:t>
      </w:r>
      <w:r w:rsidR="002F5735">
        <w:rPr>
          <w:lang w:val="en-US"/>
        </w:rPr>
        <w:t>set a hypothesis regarding them but report that exploratively</w:t>
      </w:r>
      <w:r>
        <w:rPr>
          <w:lang w:val="en-US"/>
        </w:rPr>
        <w:t>. If H0 is corroborated</w:t>
      </w:r>
      <w:r w:rsidR="002F5735">
        <w:rPr>
          <w:lang w:val="en-US"/>
        </w:rPr>
        <w:t xml:space="preserve"> one or more times</w:t>
      </w:r>
      <w:r>
        <w:rPr>
          <w:lang w:val="en-US"/>
        </w:rPr>
        <w:t xml:space="preserve">, this would support the </w:t>
      </w:r>
      <w:r>
        <w:rPr>
          <w:lang w:val="en-US"/>
        </w:rPr>
        <w:lastRenderedPageBreak/>
        <w:t xml:space="preserve">position that the DSM-IV and/or </w:t>
      </w:r>
      <w:r w:rsidR="00595783">
        <w:rPr>
          <w:lang w:val="en-US"/>
        </w:rPr>
        <w:t>S</w:t>
      </w:r>
      <w:r>
        <w:rPr>
          <w:lang w:val="en-US"/>
        </w:rPr>
        <w:t>elf-</w:t>
      </w:r>
      <w:proofErr w:type="gramStart"/>
      <w:r>
        <w:rPr>
          <w:lang w:val="en-US"/>
        </w:rPr>
        <w:t>assessment based</w:t>
      </w:r>
      <w:proofErr w:type="gramEnd"/>
      <w:r>
        <w:rPr>
          <w:lang w:val="en-US"/>
        </w:rPr>
        <w:t xml:space="preserve"> gaming problem constructs are similar to ICD-11 and/or DSM-5</w:t>
      </w:r>
      <w:r w:rsidR="00B1635D">
        <w:rPr>
          <w:lang w:val="en-US"/>
        </w:rPr>
        <w:t xml:space="preserve"> based ones</w:t>
      </w:r>
      <w:r>
        <w:rPr>
          <w:lang w:val="en-US"/>
        </w:rPr>
        <w:t>, prevalence-wise.</w:t>
      </w:r>
    </w:p>
    <w:p w14:paraId="4A6A65D3" w14:textId="1F56E28D" w:rsidR="00CE6598" w:rsidRDefault="00836E32" w:rsidP="00833AE6">
      <w:pPr>
        <w:ind w:firstLine="720"/>
        <w:jc w:val="both"/>
        <w:rPr>
          <w:lang w:val="en-US"/>
        </w:rPr>
      </w:pPr>
      <w:r>
        <w:rPr>
          <w:b/>
          <w:lang w:val="en-US"/>
        </w:rPr>
        <w:t>H2</w:t>
      </w:r>
      <w:r>
        <w:rPr>
          <w:lang w:val="en-US"/>
        </w:rPr>
        <w:t xml:space="preserve">. From previous </w:t>
      </w:r>
      <w:r w:rsidR="00833AE6">
        <w:rPr>
          <w:lang w:val="en-US"/>
        </w:rPr>
        <w:t xml:space="preserve">clinical </w:t>
      </w:r>
      <w:r>
        <w:rPr>
          <w:lang w:val="en-US"/>
        </w:rPr>
        <w:t xml:space="preserve">studies, we found only ICD-11 and DSM-5 based gaming-related health problems analyzed comparatively. These studies found 60% (Starcevic et al. 2020) and 64% (Ko et al. 2020) of “internet gaming disorder” (DSM-5) patients also meeting the “gaming disorder” (ICD-11) criteria, and all the latter meeting all the former. Our pilot found no overlap between the individuals in the </w:t>
      </w:r>
      <w:r w:rsidR="00094034">
        <w:rPr>
          <w:lang w:val="en-US"/>
        </w:rPr>
        <w:t xml:space="preserve">ICD-11 </w:t>
      </w:r>
      <w:r>
        <w:rPr>
          <w:lang w:val="en-US"/>
        </w:rPr>
        <w:t xml:space="preserve">and </w:t>
      </w:r>
      <w:r w:rsidR="00094034">
        <w:rPr>
          <w:lang w:val="en-US"/>
        </w:rPr>
        <w:t xml:space="preserve">DSM-5 </w:t>
      </w:r>
      <w:r w:rsidR="00E831E4">
        <w:rPr>
          <w:lang w:val="en-US"/>
        </w:rPr>
        <w:t>criteria meeting</w:t>
      </w:r>
      <w:r w:rsidR="00094034">
        <w:rPr>
          <w:lang w:val="en-US"/>
        </w:rPr>
        <w:t xml:space="preserve"> </w:t>
      </w:r>
      <w:r>
        <w:rPr>
          <w:lang w:val="en-US"/>
        </w:rPr>
        <w:t>groups. The conflict could be explained by our pilot sample size (Figure A in Appendix 1). It is also known that the content differences between the available screening instruments are large (Karhulahti et al. 2021), thus some of these discrepancies could be explained by the properties of GDT and IGDT10</w:t>
      </w:r>
      <w:r w:rsidR="00094034">
        <w:rPr>
          <w:lang w:val="en-US"/>
        </w:rPr>
        <w:t xml:space="preserve"> scales</w:t>
      </w:r>
      <w:r>
        <w:rPr>
          <w:lang w:val="en-US"/>
        </w:rPr>
        <w:t xml:space="preserve">. We thus follow the </w:t>
      </w:r>
      <w:r w:rsidR="006B0EF6">
        <w:rPr>
          <w:lang w:val="en-US"/>
        </w:rPr>
        <w:t xml:space="preserve">clinical </w:t>
      </w:r>
      <w:r>
        <w:rPr>
          <w:lang w:val="en-US"/>
        </w:rPr>
        <w:t xml:space="preserve">literature in our hypotheses, in addition to which we expect both the </w:t>
      </w:r>
      <w:r w:rsidR="00F333F7">
        <w:rPr>
          <w:lang w:val="en-US"/>
        </w:rPr>
        <w:t xml:space="preserve">ICD-11 </w:t>
      </w:r>
      <w:r>
        <w:rPr>
          <w:lang w:val="en-US"/>
        </w:rPr>
        <w:t xml:space="preserve">and </w:t>
      </w:r>
      <w:r w:rsidR="00F333F7">
        <w:rPr>
          <w:lang w:val="en-US"/>
        </w:rPr>
        <w:t xml:space="preserve">DSM-5 </w:t>
      </w:r>
      <w:r w:rsidR="00E831E4">
        <w:rPr>
          <w:lang w:val="en-US"/>
        </w:rPr>
        <w:t xml:space="preserve">criteria meeting </w:t>
      </w:r>
      <w:r>
        <w:rPr>
          <w:lang w:val="en-US"/>
        </w:rPr>
        <w:t xml:space="preserve">groups to meet the </w:t>
      </w:r>
      <w:r w:rsidR="00F333F7">
        <w:rPr>
          <w:lang w:val="en-US"/>
        </w:rPr>
        <w:t xml:space="preserve">DSM-IV </w:t>
      </w:r>
      <w:r w:rsidR="00964001">
        <w:rPr>
          <w:lang w:val="en-US"/>
        </w:rPr>
        <w:t xml:space="preserve">based </w:t>
      </w:r>
      <w:r>
        <w:rPr>
          <w:lang w:val="en-US"/>
        </w:rPr>
        <w:t>cutoff, based on the pilot data</w:t>
      </w:r>
      <w:r w:rsidR="00F333F7">
        <w:rPr>
          <w:lang w:val="en-US"/>
        </w:rPr>
        <w:t>:</w:t>
      </w:r>
      <w:r>
        <w:rPr>
          <w:lang w:val="en-US"/>
        </w:rPr>
        <w:t xml:space="preserve"> </w:t>
      </w:r>
      <w:r>
        <w:rPr>
          <w:i/>
          <w:iCs/>
          <w:lang w:val="en-US"/>
        </w:rPr>
        <w:t>P</w:t>
      </w:r>
      <w:r w:rsidRPr="0072681F">
        <w:rPr>
          <w:lang w:val="en-US"/>
        </w:rPr>
        <w:t>(</w:t>
      </w:r>
      <w:r w:rsidR="00F333F7">
        <w:rPr>
          <w:lang w:val="en-US"/>
        </w:rPr>
        <w:t>DSM-5</w:t>
      </w:r>
      <w:r w:rsidRPr="0072681F">
        <w:rPr>
          <w:lang w:val="en-US"/>
        </w:rPr>
        <w:t>|</w:t>
      </w:r>
      <w:r w:rsidR="00F333F7">
        <w:rPr>
          <w:lang w:val="en-US"/>
        </w:rPr>
        <w:t>ICD-</w:t>
      </w:r>
      <w:proofErr w:type="gramStart"/>
      <w:r w:rsidR="00F333F7">
        <w:rPr>
          <w:lang w:val="en-US"/>
        </w:rPr>
        <w:t>11</w:t>
      </w:r>
      <w:r>
        <w:rPr>
          <w:lang w:val="en-US"/>
        </w:rPr>
        <w:t>)</w:t>
      </w:r>
      <w:r w:rsidRPr="0072681F">
        <w:rPr>
          <w:color w:val="000000" w:themeColor="text1"/>
          <w:lang w:val="en-US"/>
        </w:rPr>
        <w:t>≈</w:t>
      </w:r>
      <w:proofErr w:type="gramEnd"/>
      <w:r>
        <w:rPr>
          <w:rFonts w:eastAsia="Gungsuh"/>
          <w:iCs/>
          <w:lang w:val="en-US"/>
        </w:rPr>
        <w:t xml:space="preserve">1 and </w:t>
      </w:r>
      <w:r>
        <w:rPr>
          <w:rFonts w:eastAsia="Gungsuh"/>
          <w:i/>
          <w:lang w:val="en-US"/>
        </w:rPr>
        <w:t>P</w:t>
      </w:r>
      <w:r>
        <w:rPr>
          <w:rFonts w:eastAsia="Gungsuh"/>
          <w:iCs/>
          <w:lang w:val="en-US"/>
        </w:rPr>
        <w:t>(</w:t>
      </w:r>
      <w:r w:rsidR="00F333F7">
        <w:rPr>
          <w:rFonts w:eastAsia="Gungsuh"/>
          <w:iCs/>
          <w:lang w:val="en-US"/>
        </w:rPr>
        <w:t>DSM-5</w:t>
      </w:r>
      <w:r>
        <w:rPr>
          <w:rFonts w:eastAsia="Gungsuh"/>
          <w:iCs/>
          <w:lang w:val="en-US"/>
        </w:rPr>
        <w:t>+</w:t>
      </w:r>
      <w:r w:rsidR="00F333F7">
        <w:rPr>
          <w:rFonts w:eastAsia="Gungsuh"/>
          <w:iCs/>
          <w:lang w:val="en-US"/>
        </w:rPr>
        <w:t>ICD-11</w:t>
      </w:r>
      <w:r w:rsidRPr="0072681F">
        <w:rPr>
          <w:lang w:val="en-US"/>
        </w:rPr>
        <w:t>|</w:t>
      </w:r>
      <w:r w:rsidR="00F333F7">
        <w:rPr>
          <w:lang w:val="en-US"/>
        </w:rPr>
        <w:t>DSM-IV</w:t>
      </w:r>
      <w:r>
        <w:rPr>
          <w:lang w:val="en-US"/>
        </w:rPr>
        <w:t>)</w:t>
      </w:r>
      <w:r w:rsidRPr="0072681F">
        <w:rPr>
          <w:color w:val="000000" w:themeColor="text1"/>
          <w:lang w:val="en-US"/>
        </w:rPr>
        <w:t>≈</w:t>
      </w:r>
      <w:r>
        <w:rPr>
          <w:color w:val="000000" w:themeColor="text1"/>
          <w:lang w:val="en-US"/>
        </w:rPr>
        <w:t>1</w:t>
      </w:r>
      <w:r>
        <w:rPr>
          <w:lang w:val="en-US"/>
        </w:rPr>
        <w:t>. Because m</w:t>
      </w:r>
      <w:r w:rsidRPr="0072681F">
        <w:rPr>
          <w:lang w:val="en-US"/>
        </w:rPr>
        <w:t>ischievous</w:t>
      </w:r>
      <w:r>
        <w:rPr>
          <w:b/>
          <w:bCs/>
          <w:lang w:val="en-US"/>
        </w:rPr>
        <w:t xml:space="preserve"> </w:t>
      </w:r>
      <w:r>
        <w:rPr>
          <w:lang w:val="en-US"/>
        </w:rPr>
        <w:t>responding</w:t>
      </w:r>
      <w:r w:rsidR="00BA099B">
        <w:rPr>
          <w:lang w:val="en-US"/>
        </w:rPr>
        <w:t xml:space="preserve">, among </w:t>
      </w:r>
      <w:r w:rsidR="002813EC">
        <w:rPr>
          <w:lang w:val="en-US"/>
        </w:rPr>
        <w:t>similar</w:t>
      </w:r>
      <w:r w:rsidR="00BA099B">
        <w:rPr>
          <w:lang w:val="en-US"/>
        </w:rPr>
        <w:t xml:space="preserve"> bias</w:t>
      </w:r>
      <w:r w:rsidR="004078B5">
        <w:rPr>
          <w:lang w:val="en-US"/>
        </w:rPr>
        <w:t>es</w:t>
      </w:r>
      <w:r w:rsidR="00BA099B">
        <w:rPr>
          <w:lang w:val="en-US"/>
        </w:rPr>
        <w:t>,</w:t>
      </w:r>
      <w:r>
        <w:rPr>
          <w:b/>
          <w:bCs/>
          <w:lang w:val="en-US"/>
        </w:rPr>
        <w:t xml:space="preserve"> </w:t>
      </w:r>
      <w:r>
        <w:rPr>
          <w:lang w:val="en-US"/>
        </w:rPr>
        <w:t xml:space="preserve">is a known </w:t>
      </w:r>
      <w:r w:rsidR="00BA099B">
        <w:rPr>
          <w:lang w:val="en-US"/>
        </w:rPr>
        <w:t>problem</w:t>
      </w:r>
      <w:r>
        <w:rPr>
          <w:lang w:val="en-US"/>
        </w:rPr>
        <w:t xml:space="preserve"> in survey research, we control Type 2 error. In gaming research, Przybylski (2016) found </w:t>
      </w:r>
      <w:r w:rsidRPr="0072681F">
        <w:rPr>
          <w:lang w:val="en-US"/>
        </w:rPr>
        <w:t>mischievous</w:t>
      </w:r>
      <w:r>
        <w:rPr>
          <w:lang w:val="en-US"/>
        </w:rPr>
        <w:t xml:space="preserve"> responding</w:t>
      </w:r>
      <w:r w:rsidR="004078B5">
        <w:rPr>
          <w:lang w:val="en-US"/>
        </w:rPr>
        <w:t xml:space="preserve"> alone</w:t>
      </w:r>
      <w:r>
        <w:rPr>
          <w:lang w:val="en-US"/>
        </w:rPr>
        <w:t xml:space="preserve"> to account for up to 2.27% of respondents, indicating that </w:t>
      </w:r>
      <w:r w:rsidR="002F5735">
        <w:rPr>
          <w:lang w:val="en-US"/>
        </w:rPr>
        <w:t xml:space="preserve">among those who </w:t>
      </w:r>
      <w:r>
        <w:rPr>
          <w:lang w:val="en-US"/>
        </w:rPr>
        <w:t xml:space="preserve">will meet </w:t>
      </w:r>
      <w:r w:rsidR="00F333F7">
        <w:rPr>
          <w:lang w:val="en-US"/>
        </w:rPr>
        <w:t xml:space="preserve">ICD-11 </w:t>
      </w:r>
      <w:r>
        <w:rPr>
          <w:lang w:val="en-US"/>
        </w:rPr>
        <w:t>criteria (</w:t>
      </w:r>
      <w:r w:rsidR="002813EC">
        <w:rPr>
          <w:lang w:val="en-US"/>
        </w:rPr>
        <w:t>N=8000x0.2</w:t>
      </w:r>
      <w:r w:rsidRPr="0072681F">
        <w:rPr>
          <w:color w:val="000000" w:themeColor="text1"/>
          <w:lang w:val="en-US"/>
        </w:rPr>
        <w:t>≈</w:t>
      </w:r>
      <w:r>
        <w:rPr>
          <w:color w:val="000000" w:themeColor="text1"/>
          <w:lang w:val="en-US"/>
        </w:rPr>
        <w:t xml:space="preserve">16), a </w:t>
      </w:r>
      <w:r w:rsidR="00BA099B">
        <w:rPr>
          <w:color w:val="000000" w:themeColor="text1"/>
          <w:lang w:val="en-US"/>
        </w:rPr>
        <w:t xml:space="preserve">false </w:t>
      </w:r>
      <w:r>
        <w:rPr>
          <w:color w:val="000000" w:themeColor="text1"/>
          <w:lang w:val="en-US"/>
        </w:rPr>
        <w:t xml:space="preserve">response </w:t>
      </w:r>
      <w:r w:rsidR="004078B5">
        <w:rPr>
          <w:color w:val="000000" w:themeColor="text1"/>
          <w:lang w:val="en-US"/>
        </w:rPr>
        <w:t>is not unlikely to occur</w:t>
      </w:r>
      <w:r>
        <w:rPr>
          <w:color w:val="000000" w:themeColor="text1"/>
          <w:lang w:val="en-US"/>
        </w:rPr>
        <w:t>.</w:t>
      </w:r>
      <w:r>
        <w:rPr>
          <w:lang w:val="en-US"/>
        </w:rPr>
        <w:t xml:space="preserve"> Therefore, we allow variation by </w:t>
      </w:r>
      <w:r w:rsidR="00380DD8">
        <w:rPr>
          <w:lang w:val="en-US"/>
        </w:rPr>
        <w:t>the lower bound of the</w:t>
      </w:r>
      <w:r>
        <w:rPr>
          <w:lang w:val="en-US"/>
        </w:rPr>
        <w:t xml:space="preserve"> </w:t>
      </w:r>
      <w:r w:rsidR="00787E68">
        <w:rPr>
          <w:lang w:val="en-US"/>
        </w:rPr>
        <w:t xml:space="preserve">binomial probability </w:t>
      </w:r>
      <w:r w:rsidR="006016E6">
        <w:rPr>
          <w:lang w:val="en-US"/>
        </w:rPr>
        <w:t>50</w:t>
      </w:r>
      <w:r w:rsidR="00380DD8">
        <w:rPr>
          <w:lang w:val="en-US"/>
        </w:rPr>
        <w:t xml:space="preserve">% </w:t>
      </w:r>
      <w:r>
        <w:rPr>
          <w:lang w:val="en-US"/>
        </w:rPr>
        <w:t xml:space="preserve">confidence interval for the conditional probability </w:t>
      </w:r>
      <w:r>
        <w:rPr>
          <w:i/>
          <w:iCs/>
          <w:lang w:val="en-US"/>
        </w:rPr>
        <w:t>P</w:t>
      </w:r>
      <w:r w:rsidR="002F5735" w:rsidRPr="002813EC">
        <w:rPr>
          <w:lang w:val="en-US"/>
        </w:rPr>
        <w:t>=1</w:t>
      </w:r>
      <w:r w:rsidR="00B91771">
        <w:rPr>
          <w:lang w:val="en-US"/>
        </w:rPr>
        <w:t xml:space="preserve"> (</w:t>
      </w:r>
      <w:r w:rsidR="00B91771" w:rsidRPr="003353C1">
        <w:rPr>
          <w:i/>
          <w:iCs/>
          <w:lang w:val="en-US"/>
        </w:rPr>
        <w:t>n</w:t>
      </w:r>
      <w:r w:rsidR="00B91771">
        <w:rPr>
          <w:lang w:val="en-US"/>
        </w:rPr>
        <w:t>=16/16; 0.</w:t>
      </w:r>
      <w:r w:rsidR="006016E6">
        <w:rPr>
          <w:lang w:val="en-US"/>
        </w:rPr>
        <w:t>917</w:t>
      </w:r>
      <w:r w:rsidR="00B91771">
        <w:rPr>
          <w:lang w:val="en-US"/>
        </w:rPr>
        <w:t>, 1)</w:t>
      </w:r>
      <w:r w:rsidR="00BA099B">
        <w:rPr>
          <w:lang w:val="en-US"/>
        </w:rPr>
        <w:t>. This control allows</w:t>
      </w:r>
      <w:r>
        <w:rPr>
          <w:lang w:val="en-US"/>
        </w:rPr>
        <w:t xml:space="preserve">, for </w:t>
      </w:r>
      <w:r w:rsidR="00BA099B">
        <w:rPr>
          <w:lang w:val="en-US"/>
        </w:rPr>
        <w:t>example</w:t>
      </w:r>
      <w:r>
        <w:rPr>
          <w:lang w:val="en-US"/>
        </w:rPr>
        <w:t xml:space="preserve">, one </w:t>
      </w:r>
      <w:r w:rsidR="00F333F7">
        <w:rPr>
          <w:lang w:val="en-US"/>
        </w:rPr>
        <w:t xml:space="preserve">ICD-11 </w:t>
      </w:r>
      <w:r>
        <w:rPr>
          <w:lang w:val="en-US"/>
        </w:rPr>
        <w:t xml:space="preserve">criteria </w:t>
      </w:r>
      <w:r w:rsidR="00BA099B">
        <w:rPr>
          <w:lang w:val="en-US"/>
        </w:rPr>
        <w:t xml:space="preserve">meeting respondent to </w:t>
      </w:r>
      <w:r w:rsidR="00BA099B" w:rsidRPr="004078B5">
        <w:rPr>
          <w:i/>
          <w:iCs/>
          <w:lang w:val="en-US"/>
        </w:rPr>
        <w:t>not</w:t>
      </w:r>
      <w:r w:rsidR="00BA099B">
        <w:rPr>
          <w:lang w:val="en-US"/>
        </w:rPr>
        <w:t xml:space="preserve"> meet </w:t>
      </w:r>
      <w:r>
        <w:rPr>
          <w:lang w:val="en-US"/>
        </w:rPr>
        <w:t xml:space="preserve">the </w:t>
      </w:r>
      <w:r w:rsidR="00F333F7">
        <w:rPr>
          <w:lang w:val="en-US"/>
        </w:rPr>
        <w:t xml:space="preserve">DSM-5 </w:t>
      </w:r>
      <w:r>
        <w:rPr>
          <w:lang w:val="en-US"/>
        </w:rPr>
        <w:t>criteria</w:t>
      </w:r>
      <w:r w:rsidR="00BA099B">
        <w:rPr>
          <w:lang w:val="en-US"/>
        </w:rPr>
        <w:t xml:space="preserve"> without </w:t>
      </w:r>
      <w:r>
        <w:rPr>
          <w:lang w:val="en-US"/>
        </w:rPr>
        <w:t>undermin</w:t>
      </w:r>
      <w:r w:rsidR="00BA099B">
        <w:rPr>
          <w:lang w:val="en-US"/>
        </w:rPr>
        <w:t>ing</w:t>
      </w:r>
      <w:r>
        <w:rPr>
          <w:lang w:val="en-US"/>
        </w:rPr>
        <w:t xml:space="preserve"> the hypothesis (in </w:t>
      </w:r>
      <w:r w:rsidR="004078B5">
        <w:rPr>
          <w:lang w:val="en-US"/>
        </w:rPr>
        <w:t xml:space="preserve">the example </w:t>
      </w:r>
      <w:r>
        <w:rPr>
          <w:lang w:val="en-US"/>
        </w:rPr>
        <w:t xml:space="preserve">of </w:t>
      </w:r>
      <w:r w:rsidR="00F333F7">
        <w:rPr>
          <w:lang w:val="en-US"/>
        </w:rPr>
        <w:t>ICD-11</w:t>
      </w:r>
      <w:r>
        <w:rPr>
          <w:lang w:val="en-US"/>
        </w:rPr>
        <w:t>=16</w:t>
      </w:r>
      <w:r w:rsidR="00380DD8">
        <w:rPr>
          <w:lang w:val="en-US"/>
        </w:rPr>
        <w:t>; 0.917, 1</w:t>
      </w:r>
      <w:r>
        <w:rPr>
          <w:lang w:val="en-US"/>
        </w:rPr>
        <w:t xml:space="preserve">). </w:t>
      </w:r>
      <w:r w:rsidR="00C24CD3">
        <w:rPr>
          <w:lang w:val="en-US"/>
        </w:rPr>
        <w:t xml:space="preserve">If the obtained sample of </w:t>
      </w:r>
      <w:r w:rsidR="00F333F7">
        <w:rPr>
          <w:lang w:val="en-US"/>
        </w:rPr>
        <w:t>ICD-11</w:t>
      </w:r>
      <w:r w:rsidR="00C24CD3">
        <w:rPr>
          <w:lang w:val="en-US"/>
        </w:rPr>
        <w:t xml:space="preserve"> </w:t>
      </w:r>
      <w:r w:rsidR="00E831E4">
        <w:rPr>
          <w:lang w:val="en-US"/>
        </w:rPr>
        <w:t>criteria meeting</w:t>
      </w:r>
      <w:r w:rsidR="00F333F7">
        <w:rPr>
          <w:lang w:val="en-US"/>
        </w:rPr>
        <w:t xml:space="preserve"> group </w:t>
      </w:r>
      <w:r w:rsidR="00C24CD3">
        <w:rPr>
          <w:lang w:val="en-US"/>
        </w:rPr>
        <w:t xml:space="preserve">meets </w:t>
      </w:r>
      <w:r w:rsidR="00C24CD3">
        <w:rPr>
          <w:rFonts w:eastAsia="Gungsuh"/>
          <w:i/>
          <w:lang w:val="en-US"/>
        </w:rPr>
        <w:t>P</w:t>
      </w:r>
      <w:r w:rsidR="00C24CD3">
        <w:rPr>
          <w:rFonts w:eastAsia="Gungsuh"/>
          <w:iCs/>
          <w:lang w:val="en-US"/>
        </w:rPr>
        <w:t>(</w:t>
      </w:r>
      <w:r w:rsidR="00F333F7">
        <w:rPr>
          <w:rFonts w:eastAsia="Gungsuh"/>
          <w:iCs/>
          <w:lang w:val="en-US"/>
        </w:rPr>
        <w:t>ICD-11</w:t>
      </w:r>
      <w:r w:rsidR="00C24CD3" w:rsidRPr="0072681F">
        <w:rPr>
          <w:lang w:val="en-US"/>
        </w:rPr>
        <w:t>|</w:t>
      </w:r>
      <w:r w:rsidR="00F333F7">
        <w:rPr>
          <w:lang w:val="en-US"/>
        </w:rPr>
        <w:t>DSM-5</w:t>
      </w:r>
      <w:r w:rsidR="00C24CD3">
        <w:rPr>
          <w:lang w:val="en-US"/>
        </w:rPr>
        <w:t>)&gt;0.917</w:t>
      </w:r>
      <w:r>
        <w:rPr>
          <w:lang w:val="en-US"/>
        </w:rPr>
        <w:t xml:space="preserve">, we consider H2a corroborated and this as evidence for the ICD-11 and DSM-5 based constructs to </w:t>
      </w:r>
      <w:r w:rsidR="006D2663">
        <w:rPr>
          <w:lang w:val="en-US"/>
        </w:rPr>
        <w:t>overlap</w:t>
      </w:r>
      <w:r>
        <w:rPr>
          <w:lang w:val="en-US"/>
        </w:rPr>
        <w:t xml:space="preserve">. </w:t>
      </w:r>
      <w:r w:rsidR="006016E6">
        <w:rPr>
          <w:lang w:val="en-US"/>
        </w:rPr>
        <w:t>For possible null testing, we set the binomial probability confidence interval</w:t>
      </w:r>
      <w:r w:rsidR="006016E6" w:rsidDel="006016E6">
        <w:rPr>
          <w:lang w:val="en-US"/>
        </w:rPr>
        <w:t xml:space="preserve"> </w:t>
      </w:r>
      <w:r w:rsidR="006016E6">
        <w:rPr>
          <w:lang w:val="en-US"/>
        </w:rPr>
        <w:t xml:space="preserve">at 95% for the conditional probability </w:t>
      </w:r>
      <w:r w:rsidR="006016E6">
        <w:rPr>
          <w:i/>
          <w:iCs/>
          <w:lang w:val="en-US"/>
        </w:rPr>
        <w:t>P</w:t>
      </w:r>
      <w:r w:rsidR="006016E6" w:rsidRPr="002813EC">
        <w:rPr>
          <w:lang w:val="en-US"/>
        </w:rPr>
        <w:t>=1</w:t>
      </w:r>
      <w:r w:rsidR="006016E6">
        <w:rPr>
          <w:lang w:val="en-US"/>
        </w:rPr>
        <w:t xml:space="preserve"> (</w:t>
      </w:r>
      <w:r w:rsidR="006016E6" w:rsidRPr="003353C1">
        <w:rPr>
          <w:i/>
          <w:iCs/>
          <w:lang w:val="en-US"/>
        </w:rPr>
        <w:t>n</w:t>
      </w:r>
      <w:r w:rsidR="006016E6">
        <w:rPr>
          <w:lang w:val="en-US"/>
        </w:rPr>
        <w:t>=16/16; 0.794, 1). If the sample of GDT</w:t>
      </w:r>
      <w:r w:rsidR="00964001">
        <w:rPr>
          <w:lang w:val="en-US"/>
        </w:rPr>
        <w:t xml:space="preserve"> criteria meeting</w:t>
      </w:r>
      <w:r w:rsidR="006016E6">
        <w:rPr>
          <w:lang w:val="en-US"/>
        </w:rPr>
        <w:t xml:space="preserve"> participants meets </w:t>
      </w:r>
      <w:r w:rsidR="006016E6">
        <w:rPr>
          <w:rFonts w:eastAsia="Gungsuh"/>
          <w:i/>
          <w:lang w:val="en-US"/>
        </w:rPr>
        <w:t>P</w:t>
      </w:r>
      <w:r w:rsidR="006016E6">
        <w:rPr>
          <w:rFonts w:eastAsia="Gungsuh"/>
          <w:iCs/>
          <w:lang w:val="en-US"/>
        </w:rPr>
        <w:t>(</w:t>
      </w:r>
      <w:r w:rsidR="00F333F7">
        <w:rPr>
          <w:rFonts w:eastAsia="Gungsuh"/>
          <w:iCs/>
          <w:lang w:val="en-US"/>
        </w:rPr>
        <w:t>ICD-11</w:t>
      </w:r>
      <w:r w:rsidR="006016E6" w:rsidRPr="0072681F">
        <w:rPr>
          <w:lang w:val="en-US"/>
        </w:rPr>
        <w:t>|</w:t>
      </w:r>
      <w:r w:rsidR="00F333F7">
        <w:rPr>
          <w:lang w:val="en-US"/>
        </w:rPr>
        <w:t>DSM-</w:t>
      </w:r>
      <w:proofErr w:type="gramStart"/>
      <w:r w:rsidR="00F333F7">
        <w:rPr>
          <w:lang w:val="en-US"/>
        </w:rPr>
        <w:t>5</w:t>
      </w:r>
      <w:r w:rsidR="006016E6">
        <w:rPr>
          <w:lang w:val="en-US"/>
        </w:rPr>
        <w:t>)&lt;</w:t>
      </w:r>
      <w:proofErr w:type="gramEnd"/>
      <w:r w:rsidR="006016E6">
        <w:rPr>
          <w:lang w:val="en-US"/>
        </w:rPr>
        <w:t xml:space="preserve">0.794, we consider H0 corroborated and this as </w:t>
      </w:r>
      <w:r>
        <w:rPr>
          <w:lang w:val="en-US"/>
        </w:rPr>
        <w:t xml:space="preserve">evidence for the ICD-11 and DSM-5 based constructs to be different </w:t>
      </w:r>
      <w:r w:rsidR="006B0EF6">
        <w:rPr>
          <w:lang w:val="en-US"/>
        </w:rPr>
        <w:t>by</w:t>
      </w:r>
      <w:r w:rsidR="006D2663">
        <w:rPr>
          <w:lang w:val="en-US"/>
        </w:rPr>
        <w:t xml:space="preserve"> overlap</w:t>
      </w:r>
      <w:r>
        <w:rPr>
          <w:lang w:val="en-US"/>
        </w:rPr>
        <w:t xml:space="preserve">. </w:t>
      </w:r>
      <w:r w:rsidR="00964001">
        <w:rPr>
          <w:lang w:val="en-US"/>
        </w:rPr>
        <w:t>W</w:t>
      </w:r>
      <w:r>
        <w:rPr>
          <w:lang w:val="en-US"/>
        </w:rPr>
        <w:t xml:space="preserve">e repeat the process with the same logic regarding </w:t>
      </w:r>
      <w:r w:rsidR="00F333F7">
        <w:rPr>
          <w:lang w:val="en-US"/>
        </w:rPr>
        <w:t>ICD-11</w:t>
      </w:r>
      <w:r>
        <w:rPr>
          <w:lang w:val="en-US"/>
        </w:rPr>
        <w:t>–</w:t>
      </w:r>
      <w:r w:rsidR="00F333F7">
        <w:rPr>
          <w:lang w:val="en-US"/>
        </w:rPr>
        <w:t>DSM-IV</w:t>
      </w:r>
      <w:r>
        <w:rPr>
          <w:lang w:val="en-US"/>
        </w:rPr>
        <w:t xml:space="preserve"> and </w:t>
      </w:r>
      <w:r w:rsidR="00F333F7">
        <w:rPr>
          <w:lang w:val="en-US"/>
        </w:rPr>
        <w:t>DSM-5</w:t>
      </w:r>
      <w:r>
        <w:rPr>
          <w:lang w:val="en-US"/>
        </w:rPr>
        <w:t>–</w:t>
      </w:r>
      <w:r w:rsidR="00F333F7">
        <w:rPr>
          <w:lang w:val="en-US"/>
        </w:rPr>
        <w:t>DSM-IV</w:t>
      </w:r>
      <w:r w:rsidR="00B15977">
        <w:rPr>
          <w:lang w:val="en-US"/>
        </w:rPr>
        <w:t xml:space="preserve"> (H</w:t>
      </w:r>
      <w:r w:rsidR="00A74A7D">
        <w:rPr>
          <w:lang w:val="en-US"/>
        </w:rPr>
        <w:t>2b)</w:t>
      </w:r>
      <w:r>
        <w:rPr>
          <w:lang w:val="en-US"/>
        </w:rPr>
        <w:t>.</w:t>
      </w:r>
      <w:r w:rsidR="00A74A7D">
        <w:rPr>
          <w:lang w:val="en-US"/>
        </w:rPr>
        <w:t xml:space="preserve"> </w:t>
      </w:r>
      <w:r>
        <w:rPr>
          <w:lang w:val="en-US"/>
        </w:rPr>
        <w:t xml:space="preserve">Empirical support for </w:t>
      </w:r>
      <w:r w:rsidR="006D2663">
        <w:rPr>
          <w:lang w:val="en-US"/>
        </w:rPr>
        <w:t xml:space="preserve">overlap </w:t>
      </w:r>
      <w:r>
        <w:rPr>
          <w:lang w:val="en-US"/>
        </w:rPr>
        <w:t xml:space="preserve">can mean that the constructs consist of similar health problems (of different degree), different kinds of health problems, or no health problems (Figure 1). Empirical support for </w:t>
      </w:r>
      <w:r w:rsidR="006B0EF6">
        <w:rPr>
          <w:lang w:val="en-US"/>
        </w:rPr>
        <w:t xml:space="preserve">lacking overlap </w:t>
      </w:r>
      <w:r>
        <w:rPr>
          <w:lang w:val="en-US"/>
        </w:rPr>
        <w:t>can mean that the constructs are partially or entirely different (Figure 2).</w:t>
      </w:r>
    </w:p>
    <w:p w14:paraId="6ED119FB" w14:textId="77777777" w:rsidR="00CE6598" w:rsidRDefault="00CE6598">
      <w:pPr>
        <w:jc w:val="both"/>
        <w:rPr>
          <w:b/>
          <w:lang w:val="en-US"/>
        </w:rPr>
      </w:pPr>
    </w:p>
    <w:p w14:paraId="66DE9337" w14:textId="77777777" w:rsidR="00CE6598" w:rsidRDefault="00836E32">
      <w:pPr>
        <w:jc w:val="center"/>
        <w:rPr>
          <w:lang w:val="en-US"/>
        </w:rPr>
      </w:pPr>
      <w:r>
        <w:rPr>
          <w:noProof/>
        </w:rPr>
        <w:drawing>
          <wp:inline distT="0" distB="0" distL="0" distR="0" wp14:anchorId="0D041B46" wp14:editId="7196FEA1">
            <wp:extent cx="4826000" cy="1819910"/>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png"/>
                    <pic:cNvPicPr>
                      <a:picLocks noChangeAspect="1" noChangeArrowheads="1"/>
                    </pic:cNvPicPr>
                  </pic:nvPicPr>
                  <pic:blipFill>
                    <a:blip r:embed="rId10"/>
                    <a:stretch>
                      <a:fillRect/>
                    </a:stretch>
                  </pic:blipFill>
                  <pic:spPr bwMode="auto">
                    <a:xfrm>
                      <a:off x="0" y="0"/>
                      <a:ext cx="4826000" cy="1819910"/>
                    </a:xfrm>
                    <a:prstGeom prst="rect">
                      <a:avLst/>
                    </a:prstGeom>
                  </pic:spPr>
                </pic:pic>
              </a:graphicData>
            </a:graphic>
          </wp:inline>
        </w:drawing>
      </w:r>
    </w:p>
    <w:p w14:paraId="03C28784" w14:textId="0987BB60" w:rsidR="00CE6598" w:rsidRDefault="00836E32">
      <w:pPr>
        <w:jc w:val="center"/>
        <w:rPr>
          <w:sz w:val="18"/>
          <w:szCs w:val="18"/>
          <w:lang w:val="en-US"/>
        </w:rPr>
      </w:pPr>
      <w:r>
        <w:rPr>
          <w:sz w:val="18"/>
          <w:szCs w:val="18"/>
          <w:lang w:val="en-US"/>
        </w:rPr>
        <w:t xml:space="preserve">Figure 2. Three </w:t>
      </w:r>
      <w:r w:rsidR="00611563">
        <w:rPr>
          <w:sz w:val="18"/>
          <w:szCs w:val="18"/>
          <w:lang w:val="en-US"/>
        </w:rPr>
        <w:t>exemplary</w:t>
      </w:r>
      <w:r>
        <w:rPr>
          <w:sz w:val="18"/>
          <w:szCs w:val="18"/>
          <w:lang w:val="en-US"/>
        </w:rPr>
        <w:t xml:space="preserve"> scenarios where one screening instrument identifies a group with marginal overlap.</w:t>
      </w:r>
    </w:p>
    <w:p w14:paraId="58D580F5" w14:textId="77777777" w:rsidR="00CE6598" w:rsidRDefault="00836E32">
      <w:pPr>
        <w:jc w:val="both"/>
        <w:rPr>
          <w:sz w:val="18"/>
          <w:szCs w:val="18"/>
          <w:lang w:val="en-US"/>
        </w:rPr>
      </w:pPr>
      <w:r>
        <w:rPr>
          <w:sz w:val="18"/>
          <w:szCs w:val="18"/>
          <w:lang w:val="en-US"/>
        </w:rPr>
        <w:t xml:space="preserve"> </w:t>
      </w:r>
    </w:p>
    <w:p w14:paraId="31E88251" w14:textId="1B0044CF" w:rsidR="00CE6598" w:rsidRDefault="00836E32">
      <w:pPr>
        <w:jc w:val="both"/>
        <w:rPr>
          <w:color w:val="000000" w:themeColor="text1"/>
          <w:lang w:val="en-US"/>
        </w:rPr>
      </w:pPr>
      <w:r>
        <w:rPr>
          <w:b/>
          <w:lang w:val="en-US"/>
        </w:rPr>
        <w:t>H3</w:t>
      </w:r>
      <w:r>
        <w:rPr>
          <w:lang w:val="en-US"/>
        </w:rPr>
        <w:t xml:space="preserve">. We will apply </w:t>
      </w:r>
      <w:r w:rsidR="006B5F48">
        <w:rPr>
          <w:lang w:val="en-US"/>
        </w:rPr>
        <w:t xml:space="preserve">PROMIS </w:t>
      </w:r>
      <w:r w:rsidR="002A0E1B">
        <w:rPr>
          <w:lang w:val="en-US"/>
        </w:rPr>
        <w:t>Global Physical Health (</w:t>
      </w:r>
      <w:r>
        <w:rPr>
          <w:lang w:val="en-US"/>
        </w:rPr>
        <w:t>GPH-2</w:t>
      </w:r>
      <w:r w:rsidR="002A0E1B">
        <w:rPr>
          <w:lang w:val="en-US"/>
        </w:rPr>
        <w:t>)</w:t>
      </w:r>
      <w:r>
        <w:rPr>
          <w:lang w:val="en-US"/>
        </w:rPr>
        <w:t xml:space="preserve"> and </w:t>
      </w:r>
      <w:r w:rsidR="002A0E1B">
        <w:rPr>
          <w:lang w:val="en-US"/>
        </w:rPr>
        <w:t>Global Mental Health (</w:t>
      </w:r>
      <w:r>
        <w:rPr>
          <w:lang w:val="en-US"/>
        </w:rPr>
        <w:t>GMH-2</w:t>
      </w:r>
      <w:r w:rsidR="002A0E1B">
        <w:rPr>
          <w:lang w:val="en-US"/>
        </w:rPr>
        <w:t>)</w:t>
      </w:r>
      <w:r>
        <w:rPr>
          <w:lang w:val="en-US"/>
        </w:rPr>
        <w:t xml:space="preserve"> </w:t>
      </w:r>
      <w:r w:rsidR="0020509F">
        <w:rPr>
          <w:lang w:val="en-US"/>
        </w:rPr>
        <w:t xml:space="preserve">scales </w:t>
      </w:r>
      <w:r>
        <w:rPr>
          <w:lang w:val="en-US"/>
        </w:rPr>
        <w:t xml:space="preserve">for investigating </w:t>
      </w:r>
      <w:r w:rsidR="003D390F">
        <w:rPr>
          <w:lang w:val="en-US"/>
        </w:rPr>
        <w:t xml:space="preserve">the participants’ health </w:t>
      </w:r>
      <w:r w:rsidR="002A0E1B">
        <w:rPr>
          <w:lang w:val="en-US"/>
        </w:rPr>
        <w:t>(Hays et al. 2017)</w:t>
      </w:r>
      <w:r>
        <w:rPr>
          <w:lang w:val="en-US"/>
        </w:rPr>
        <w:t xml:space="preserve">. The United States based reference values for physical health are 42–50 (good) and 35–41 (fair); for mental health the values are 40–48 (good) and 28–40 (fair) (PROMIS 2021; Hays et al. 2015). When measured with GPH-2, the Finnish working population had the mean value </w:t>
      </w:r>
      <w:r>
        <w:rPr>
          <w:color w:val="000000" w:themeColor="text1"/>
          <w:lang w:val="en-US"/>
        </w:rPr>
        <w:t xml:space="preserve">of 44.2 whereas the value for the individuals </w:t>
      </w:r>
      <w:r w:rsidR="00F333F7">
        <w:rPr>
          <w:color w:val="000000" w:themeColor="text1"/>
          <w:lang w:val="en-US"/>
        </w:rPr>
        <w:t xml:space="preserve">meeting DSM-IV </w:t>
      </w:r>
      <w:r w:rsidR="00C06D99">
        <w:rPr>
          <w:color w:val="000000" w:themeColor="text1"/>
          <w:lang w:val="en-US"/>
        </w:rPr>
        <w:t xml:space="preserve">based </w:t>
      </w:r>
      <w:r w:rsidR="00F333F7">
        <w:rPr>
          <w:color w:val="000000" w:themeColor="text1"/>
          <w:lang w:val="en-US"/>
        </w:rPr>
        <w:t>criteria</w:t>
      </w:r>
      <w:r>
        <w:rPr>
          <w:color w:val="000000" w:themeColor="text1"/>
          <w:lang w:val="en-US"/>
        </w:rPr>
        <w:t xml:space="preserve"> had 42.5. With GMH-2, the values </w:t>
      </w:r>
      <w:r>
        <w:rPr>
          <w:color w:val="000000" w:themeColor="text1"/>
          <w:lang w:val="en-US"/>
        </w:rPr>
        <w:lastRenderedPageBreak/>
        <w:t xml:space="preserve">were 47.0 for </w:t>
      </w:r>
      <w:r>
        <w:rPr>
          <w:lang w:val="en-US"/>
        </w:rPr>
        <w:t xml:space="preserve">the general working population and 44.5 for the </w:t>
      </w:r>
      <w:r w:rsidR="00F333F7">
        <w:rPr>
          <w:lang w:val="en-US"/>
        </w:rPr>
        <w:t>DSM-IV</w:t>
      </w:r>
      <w:r w:rsidR="00C06D99">
        <w:rPr>
          <w:lang w:val="en-US"/>
        </w:rPr>
        <w:t xml:space="preserve"> based</w:t>
      </w:r>
      <w:r>
        <w:rPr>
          <w:lang w:val="en-US"/>
        </w:rPr>
        <w:t xml:space="preserve"> </w:t>
      </w:r>
      <w:r w:rsidR="00E831E4">
        <w:rPr>
          <w:lang w:val="en-US"/>
        </w:rPr>
        <w:t xml:space="preserve">criteria meeting </w:t>
      </w:r>
      <w:r>
        <w:rPr>
          <w:lang w:val="en-US"/>
        </w:rPr>
        <w:t xml:space="preserve">group. A one-way analysis of variance (ANOVA) test showed that there was a statistically significant difference between both physical health </w:t>
      </w:r>
      <w:r w:rsidR="00931558">
        <w:rPr>
          <w:lang w:val="en-US"/>
        </w:rPr>
        <w:t>(</w:t>
      </w:r>
      <w:proofErr w:type="gramStart"/>
      <w:r>
        <w:rPr>
          <w:lang w:val="en-US"/>
        </w:rPr>
        <w:t>F</w:t>
      </w:r>
      <w:r w:rsidR="00931558">
        <w:rPr>
          <w:lang w:val="en-US"/>
        </w:rPr>
        <w:t>[</w:t>
      </w:r>
      <w:proofErr w:type="gramEnd"/>
      <w:r>
        <w:rPr>
          <w:lang w:val="en-US"/>
        </w:rPr>
        <w:t>1, 998</w:t>
      </w:r>
      <w:r w:rsidR="00931558">
        <w:rPr>
          <w:lang w:val="en-US"/>
        </w:rPr>
        <w:t>]</w:t>
      </w:r>
      <w:r>
        <w:rPr>
          <w:lang w:val="en-US"/>
        </w:rPr>
        <w:t xml:space="preserve">=4.66, p&lt;0.05, Cohen’s </w:t>
      </w:r>
      <w:r>
        <w:rPr>
          <w:i/>
          <w:lang w:val="en-US"/>
        </w:rPr>
        <w:t>d</w:t>
      </w:r>
      <w:r>
        <w:rPr>
          <w:lang w:val="en-US"/>
        </w:rPr>
        <w:t>=0.23</w:t>
      </w:r>
      <w:r w:rsidR="00611563">
        <w:rPr>
          <w:lang w:val="en-US"/>
        </w:rPr>
        <w:t>,</w:t>
      </w:r>
      <w:r>
        <w:rPr>
          <w:lang w:val="en-US"/>
        </w:rPr>
        <w:t xml:space="preserve"> 95% CI </w:t>
      </w:r>
      <w:r w:rsidR="00931558">
        <w:rPr>
          <w:lang w:val="en-US"/>
        </w:rPr>
        <w:t>[</w:t>
      </w:r>
      <w:r>
        <w:rPr>
          <w:lang w:val="en-US"/>
        </w:rPr>
        <w:t>.14, .33</w:t>
      </w:r>
      <w:r w:rsidR="00931558">
        <w:rPr>
          <w:lang w:val="en-US"/>
        </w:rPr>
        <w:t>])</w:t>
      </w:r>
      <w:r>
        <w:rPr>
          <w:lang w:val="en-US"/>
        </w:rPr>
        <w:t xml:space="preserve"> and mental health </w:t>
      </w:r>
      <w:r w:rsidR="00162CFC">
        <w:rPr>
          <w:lang w:val="en-US"/>
        </w:rPr>
        <w:t>(</w:t>
      </w:r>
      <w:r>
        <w:rPr>
          <w:lang w:val="en-US"/>
        </w:rPr>
        <w:t>F</w:t>
      </w:r>
      <w:r w:rsidR="00162CFC">
        <w:rPr>
          <w:lang w:val="en-US"/>
        </w:rPr>
        <w:t>[</w:t>
      </w:r>
      <w:r>
        <w:rPr>
          <w:lang w:val="en-US"/>
        </w:rPr>
        <w:t>1,998</w:t>
      </w:r>
      <w:r w:rsidR="00162CFC">
        <w:rPr>
          <w:lang w:val="en-US"/>
        </w:rPr>
        <w:t>]</w:t>
      </w:r>
      <w:r>
        <w:rPr>
          <w:lang w:val="en-US"/>
        </w:rPr>
        <w:t xml:space="preserve">=8.53, p&lt;0.01, Cohen’s </w:t>
      </w:r>
      <w:r>
        <w:rPr>
          <w:i/>
          <w:lang w:val="en-US"/>
        </w:rPr>
        <w:t>d</w:t>
      </w:r>
      <w:r>
        <w:rPr>
          <w:lang w:val="en-US"/>
        </w:rPr>
        <w:t>=0.32</w:t>
      </w:r>
      <w:r w:rsidR="00611563">
        <w:rPr>
          <w:lang w:val="en-US"/>
        </w:rPr>
        <w:t xml:space="preserve">, </w:t>
      </w:r>
      <w:r>
        <w:rPr>
          <w:lang w:val="en-US"/>
        </w:rPr>
        <w:t xml:space="preserve">95% CI </w:t>
      </w:r>
      <w:r w:rsidR="00162CFC">
        <w:rPr>
          <w:lang w:val="en-US"/>
        </w:rPr>
        <w:t>[</w:t>
      </w:r>
      <w:r>
        <w:rPr>
          <w:lang w:val="en-US"/>
        </w:rPr>
        <w:t>.22, .41</w:t>
      </w:r>
      <w:r w:rsidR="00162CFC">
        <w:rPr>
          <w:lang w:val="en-US"/>
        </w:rPr>
        <w:t>])</w:t>
      </w:r>
      <w:r>
        <w:rPr>
          <w:lang w:val="en-US"/>
        </w:rPr>
        <w:t xml:space="preserve">. </w:t>
      </w:r>
      <w:r w:rsidR="00964001">
        <w:rPr>
          <w:lang w:val="en-US"/>
        </w:rPr>
        <w:t>E</w:t>
      </w:r>
      <w:r>
        <w:rPr>
          <w:lang w:val="en-US"/>
        </w:rPr>
        <w:t>ven small effects can be relevant if adverse health scenarios prolong over multiple years (Funder &amp; Ozer 2019)</w:t>
      </w:r>
      <w:r w:rsidR="00162CFC">
        <w:rPr>
          <w:lang w:val="en-US"/>
        </w:rPr>
        <w:t>.</w:t>
      </w:r>
      <w:r>
        <w:rPr>
          <w:lang w:val="en-US"/>
        </w:rPr>
        <w:t xml:space="preserve"> </w:t>
      </w:r>
      <w:r w:rsidR="00162CFC">
        <w:rPr>
          <w:lang w:val="en-US"/>
        </w:rPr>
        <w:t>H</w:t>
      </w:r>
      <w:r>
        <w:rPr>
          <w:lang w:val="en-US"/>
        </w:rPr>
        <w:t xml:space="preserve">ence, we set our smallest effect size of interest to </w:t>
      </w:r>
      <w:r>
        <w:rPr>
          <w:i/>
          <w:lang w:val="en-US"/>
        </w:rPr>
        <w:t>d</w:t>
      </w:r>
      <w:r>
        <w:rPr>
          <w:lang w:val="en-US"/>
        </w:rPr>
        <w:t>=0.22 (the lowe</w:t>
      </w:r>
      <w:r w:rsidR="001275C9">
        <w:rPr>
          <w:lang w:val="en-US"/>
        </w:rPr>
        <w:t>st</w:t>
      </w:r>
      <w:r>
        <w:rPr>
          <w:lang w:val="en-US"/>
        </w:rPr>
        <w:t xml:space="preserve"> 95% CI in the </w:t>
      </w:r>
      <w:proofErr w:type="gramStart"/>
      <w:r>
        <w:rPr>
          <w:lang w:val="en-US"/>
        </w:rPr>
        <w:t>pilot</w:t>
      </w:r>
      <w:r w:rsidR="001275C9">
        <w:rPr>
          <w:lang w:val="en-US"/>
        </w:rPr>
        <w:t>;</w:t>
      </w:r>
      <w:proofErr w:type="gramEnd"/>
      <w:r w:rsidR="001275C9">
        <w:rPr>
          <w:lang w:val="en-US"/>
        </w:rPr>
        <w:t xml:space="preserve"> clear change in reference value</w:t>
      </w:r>
      <w:r>
        <w:rPr>
          <w:lang w:val="en-US"/>
        </w:rPr>
        <w:t xml:space="preserve">). </w:t>
      </w:r>
      <w:r>
        <w:rPr>
          <w:rFonts w:eastAsia="Gungsuh"/>
          <w:lang w:val="en-US"/>
        </w:rPr>
        <w:t xml:space="preserve">If either the mental or physical health of the </w:t>
      </w:r>
      <w:r w:rsidR="00F333F7">
        <w:rPr>
          <w:rFonts w:eastAsia="Gungsuh"/>
          <w:lang w:val="en-US"/>
        </w:rPr>
        <w:t xml:space="preserve">DSM-IV </w:t>
      </w:r>
      <w:r>
        <w:rPr>
          <w:rFonts w:eastAsia="Gungsuh"/>
          <w:lang w:val="en-US"/>
        </w:rPr>
        <w:t xml:space="preserve">and </w:t>
      </w:r>
      <w:r w:rsidR="00595783">
        <w:rPr>
          <w:rFonts w:eastAsia="Gungsuh"/>
          <w:lang w:val="en-US"/>
        </w:rPr>
        <w:t>S</w:t>
      </w:r>
      <w:r w:rsidR="00F333F7">
        <w:rPr>
          <w:rFonts w:eastAsia="Gungsuh"/>
          <w:lang w:val="en-US"/>
        </w:rPr>
        <w:t>elf-</w:t>
      </w:r>
      <w:proofErr w:type="gramStart"/>
      <w:r w:rsidR="00F333F7">
        <w:rPr>
          <w:rFonts w:eastAsia="Gungsuh"/>
          <w:lang w:val="en-US"/>
        </w:rPr>
        <w:t xml:space="preserve">assessment </w:t>
      </w:r>
      <w:r w:rsidR="00C06D99">
        <w:rPr>
          <w:rFonts w:eastAsia="Gungsuh"/>
          <w:lang w:val="en-US"/>
        </w:rPr>
        <w:t>based</w:t>
      </w:r>
      <w:proofErr w:type="gramEnd"/>
      <w:r w:rsidR="00E831E4">
        <w:rPr>
          <w:rFonts w:eastAsia="Gungsuh"/>
          <w:lang w:val="en-US"/>
        </w:rPr>
        <w:t xml:space="preserve"> </w:t>
      </w:r>
      <w:r>
        <w:rPr>
          <w:rFonts w:eastAsia="Gungsuh"/>
          <w:lang w:val="en-US"/>
        </w:rPr>
        <w:t>groups are significantly (</w:t>
      </w:r>
      <w:r>
        <w:rPr>
          <w:rFonts w:eastAsia="Gungsuh"/>
          <w:i/>
          <w:iCs/>
          <w:lang w:val="en-US"/>
        </w:rPr>
        <w:t>d</w:t>
      </w:r>
      <w:r>
        <w:rPr>
          <w:rFonts w:eastAsia="Gungsuh"/>
          <w:i/>
          <w:lang w:val="en-US"/>
        </w:rPr>
        <w:t>≥</w:t>
      </w:r>
      <w:r>
        <w:rPr>
          <w:rFonts w:eastAsia="Gungsuh"/>
          <w:lang w:val="en-US"/>
        </w:rPr>
        <w:t>0.22 at alpha 0.025) lower than those of the general population, we consider H3a</w:t>
      </w:r>
      <w:r w:rsidR="004E538D">
        <w:rPr>
          <w:rFonts w:eastAsia="Gungsuh"/>
          <w:lang w:val="en-US"/>
        </w:rPr>
        <w:t>/H3</w:t>
      </w:r>
      <w:r>
        <w:rPr>
          <w:rFonts w:eastAsia="Gungsuh"/>
          <w:lang w:val="en-US"/>
        </w:rPr>
        <w:t xml:space="preserve">b corroborated. </w:t>
      </w:r>
      <w:r>
        <w:rPr>
          <w:lang w:val="en-US"/>
        </w:rPr>
        <w:t xml:space="preserve">If corroborated, we consider that as theoretical evidence for the </w:t>
      </w:r>
      <w:r w:rsidR="00595783">
        <w:rPr>
          <w:lang w:val="en-US"/>
        </w:rPr>
        <w:t>S</w:t>
      </w:r>
      <w:r>
        <w:rPr>
          <w:lang w:val="en-US"/>
        </w:rPr>
        <w:t>elf-assess</w:t>
      </w:r>
      <w:r w:rsidR="00F333F7">
        <w:rPr>
          <w:lang w:val="en-US"/>
        </w:rPr>
        <w:t>ment</w:t>
      </w:r>
      <w:r>
        <w:rPr>
          <w:lang w:val="en-US"/>
        </w:rPr>
        <w:t xml:space="preserve"> or DSM-IV </w:t>
      </w:r>
      <w:r w:rsidR="00C06D99">
        <w:rPr>
          <w:lang w:val="en-US"/>
        </w:rPr>
        <w:t>based</w:t>
      </w:r>
      <w:r w:rsidR="004E538D">
        <w:rPr>
          <w:lang w:val="en-US"/>
        </w:rPr>
        <w:t xml:space="preserve"> </w:t>
      </w:r>
      <w:r w:rsidR="00FB342E">
        <w:rPr>
          <w:lang w:val="en-US"/>
        </w:rPr>
        <w:t>constructs</w:t>
      </w:r>
      <w:r>
        <w:rPr>
          <w:lang w:val="en-US"/>
        </w:rPr>
        <w:t xml:space="preserve"> </w:t>
      </w:r>
      <w:r w:rsidR="0020041A">
        <w:rPr>
          <w:lang w:val="en-US"/>
        </w:rPr>
        <w:t>linking to</w:t>
      </w:r>
      <w:r>
        <w:rPr>
          <w:lang w:val="en-US"/>
        </w:rPr>
        <w:t xml:space="preserve"> lower health. If neither mental nor physical effects are significant or below </w:t>
      </w:r>
      <w:r>
        <w:rPr>
          <w:i/>
          <w:lang w:val="en-US"/>
        </w:rPr>
        <w:t>d</w:t>
      </w:r>
      <w:r>
        <w:rPr>
          <w:lang w:val="en-US"/>
        </w:rPr>
        <w:t xml:space="preserve">=.22, we consider H3a/H3b not supported and continue with equivalence testing </w:t>
      </w:r>
      <w:r w:rsidR="00B15977">
        <w:rPr>
          <w:lang w:val="en-US"/>
        </w:rPr>
        <w:t xml:space="preserve">(Lakens 2017) </w:t>
      </w:r>
      <w:r>
        <w:rPr>
          <w:lang w:val="en-US"/>
        </w:rPr>
        <w:t>to assess null support.</w:t>
      </w:r>
      <w:r w:rsidR="00FB7027">
        <w:rPr>
          <w:lang w:val="en-US"/>
        </w:rPr>
        <w:t xml:space="preserve"> </w:t>
      </w:r>
      <w:r w:rsidR="00295CED">
        <w:rPr>
          <w:lang w:val="en-US"/>
        </w:rPr>
        <w:t>As we did not find strong pilot evidence for H3c (Appendix</w:t>
      </w:r>
      <w:r w:rsidR="0020041A">
        <w:rPr>
          <w:lang w:val="en-US"/>
        </w:rPr>
        <w:t xml:space="preserve"> 1</w:t>
      </w:r>
      <w:r w:rsidR="00295CED">
        <w:rPr>
          <w:lang w:val="en-US"/>
        </w:rPr>
        <w:t xml:space="preserve">), we set </w:t>
      </w:r>
      <w:r w:rsidR="00FB7027">
        <w:rPr>
          <w:lang w:val="en-US"/>
        </w:rPr>
        <w:t>H0</w:t>
      </w:r>
      <w:r w:rsidR="00295CED">
        <w:rPr>
          <w:lang w:val="en-US"/>
        </w:rPr>
        <w:t xml:space="preserve"> as</w:t>
      </w:r>
      <w:r w:rsidR="00FB7027">
        <w:rPr>
          <w:lang w:val="en-US"/>
        </w:rPr>
        <w:t xml:space="preserve"> a competing hypothesis</w:t>
      </w:r>
      <w:r w:rsidR="00A36E6A">
        <w:rPr>
          <w:lang w:val="en-US"/>
        </w:rPr>
        <w:t>.</w:t>
      </w:r>
      <w:r w:rsidR="00FB7027">
        <w:rPr>
          <w:lang w:val="en-US"/>
        </w:rPr>
        <w:t xml:space="preserve"> </w:t>
      </w:r>
      <w:r w:rsidR="004E538D">
        <w:rPr>
          <w:lang w:val="en-US"/>
        </w:rPr>
        <w:t>In H3c, w</w:t>
      </w:r>
      <w:r>
        <w:rPr>
          <w:lang w:val="en-US"/>
        </w:rPr>
        <w:t xml:space="preserve">e assess the difference between the </w:t>
      </w:r>
      <w:r w:rsidR="00F333F7">
        <w:rPr>
          <w:lang w:val="en-US"/>
        </w:rPr>
        <w:t xml:space="preserve">DSM-IV </w:t>
      </w:r>
      <w:r>
        <w:rPr>
          <w:lang w:val="en-US"/>
        </w:rPr>
        <w:t xml:space="preserve">and </w:t>
      </w:r>
      <w:r w:rsidR="00595783">
        <w:rPr>
          <w:lang w:val="en-US"/>
        </w:rPr>
        <w:t>S</w:t>
      </w:r>
      <w:r w:rsidR="00F333F7">
        <w:rPr>
          <w:lang w:val="en-US"/>
        </w:rPr>
        <w:t>elf-assessment</w:t>
      </w:r>
      <w:r w:rsidR="00595783">
        <w:rPr>
          <w:lang w:val="en-US"/>
        </w:rPr>
        <w:t xml:space="preserve"> </w:t>
      </w:r>
      <w:r w:rsidR="00F333F7">
        <w:rPr>
          <w:lang w:val="en-US"/>
        </w:rPr>
        <w:t>group</w:t>
      </w:r>
      <w:r w:rsidR="0020041A">
        <w:rPr>
          <w:lang w:val="en-US"/>
        </w:rPr>
        <w:t>s</w:t>
      </w:r>
      <w:r>
        <w:rPr>
          <w:lang w:val="en-US"/>
        </w:rPr>
        <w:t>.</w:t>
      </w:r>
      <w:r w:rsidR="00833AE6">
        <w:rPr>
          <w:b/>
          <w:bCs/>
          <w:color w:val="000000" w:themeColor="text1"/>
          <w:lang w:val="en-US"/>
        </w:rPr>
        <w:t xml:space="preserve"> </w:t>
      </w:r>
      <w:r w:rsidR="00295CED">
        <w:rPr>
          <w:color w:val="000000" w:themeColor="text1"/>
          <w:lang w:val="en-US"/>
        </w:rPr>
        <w:t>A significant effect (</w:t>
      </w:r>
      <w:r w:rsidR="00295CED">
        <w:rPr>
          <w:i/>
          <w:iCs/>
          <w:color w:val="000000" w:themeColor="text1"/>
          <w:lang w:val="en-US"/>
        </w:rPr>
        <w:t>d</w:t>
      </w:r>
      <w:r w:rsidR="00295CED">
        <w:rPr>
          <w:i/>
          <w:color w:val="000000" w:themeColor="text1"/>
          <w:lang w:val="en-US"/>
        </w:rPr>
        <w:t>≥</w:t>
      </w:r>
      <w:r w:rsidR="00295CED">
        <w:rPr>
          <w:color w:val="000000" w:themeColor="text1"/>
          <w:lang w:val="en-US"/>
        </w:rPr>
        <w:t>0.22 at alpha 0.0</w:t>
      </w:r>
      <w:r w:rsidR="00AD0527">
        <w:rPr>
          <w:color w:val="000000" w:themeColor="text1"/>
          <w:lang w:val="en-US"/>
        </w:rPr>
        <w:t>2</w:t>
      </w:r>
      <w:r w:rsidR="00295CED">
        <w:rPr>
          <w:color w:val="000000" w:themeColor="text1"/>
          <w:lang w:val="en-US"/>
        </w:rPr>
        <w:t>5) would be interpreted as support for the multiplicity of constructs health-wise. H0 is a competing hypothes</w:t>
      </w:r>
      <w:r w:rsidR="0020041A">
        <w:rPr>
          <w:color w:val="000000" w:themeColor="text1"/>
          <w:lang w:val="en-US"/>
        </w:rPr>
        <w:t>i</w:t>
      </w:r>
      <w:r w:rsidR="00295CED">
        <w:rPr>
          <w:color w:val="000000" w:themeColor="text1"/>
          <w:lang w:val="en-US"/>
        </w:rPr>
        <w:t>s, and its corroboration</w:t>
      </w:r>
      <w:r>
        <w:rPr>
          <w:color w:val="000000" w:themeColor="text1"/>
          <w:lang w:val="en-US"/>
        </w:rPr>
        <w:t xml:space="preserve"> would be evidence for construct similarity, health-wise.</w:t>
      </w:r>
    </w:p>
    <w:p w14:paraId="3FDC3A1D" w14:textId="77777777" w:rsidR="00CE6598" w:rsidRDefault="00CE6598">
      <w:pPr>
        <w:jc w:val="both"/>
        <w:rPr>
          <w:i/>
          <w:lang w:val="en-US"/>
        </w:rPr>
      </w:pPr>
    </w:p>
    <w:p w14:paraId="7EAE3875" w14:textId="77777777" w:rsidR="00CE6598" w:rsidRDefault="00836E32">
      <w:pPr>
        <w:jc w:val="both"/>
        <w:rPr>
          <w:b/>
          <w:bCs/>
          <w:i/>
          <w:lang w:val="en-US"/>
        </w:rPr>
      </w:pPr>
      <w:r>
        <w:rPr>
          <w:b/>
          <w:bCs/>
          <w:i/>
          <w:lang w:val="en-US"/>
        </w:rPr>
        <w:t>Sampling plan</w:t>
      </w:r>
    </w:p>
    <w:p w14:paraId="5B0757B5" w14:textId="5130D485" w:rsidR="00CE6598" w:rsidRDefault="00836E32">
      <w:pPr>
        <w:jc w:val="both"/>
        <w:rPr>
          <w:lang w:val="en-US"/>
        </w:rPr>
      </w:pPr>
      <w:r>
        <w:rPr>
          <w:lang w:val="en-US"/>
        </w:rPr>
        <w:t>The data will be collected with Bilendi</w:t>
      </w:r>
      <w:r w:rsidR="00A70656">
        <w:rPr>
          <w:lang w:val="en-US"/>
        </w:rPr>
        <w:t xml:space="preserve">, </w:t>
      </w:r>
      <w:proofErr w:type="gramStart"/>
      <w:r w:rsidR="00A70656">
        <w:rPr>
          <w:lang w:val="en-US"/>
        </w:rPr>
        <w:t>i.e.</w:t>
      </w:r>
      <w:proofErr w:type="gramEnd"/>
      <w:r w:rsidR="00A70656">
        <w:rPr>
          <w:lang w:val="en-US"/>
        </w:rPr>
        <w:t xml:space="preserve"> respondents will be </w:t>
      </w:r>
      <w:r w:rsidR="00AC69E2">
        <w:rPr>
          <w:lang w:val="en-US"/>
        </w:rPr>
        <w:t>invited remotely from</w:t>
      </w:r>
      <w:r w:rsidR="00A70656">
        <w:rPr>
          <w:lang w:val="en-US"/>
        </w:rPr>
        <w:t xml:space="preserve"> the company’s 2.2M panel</w:t>
      </w:r>
      <w:r w:rsidR="00D03DD4" w:rsidRPr="00D03DD4">
        <w:rPr>
          <w:lang w:val="en-US"/>
        </w:rPr>
        <w:t xml:space="preserve"> </w:t>
      </w:r>
      <w:r w:rsidR="00D03DD4">
        <w:rPr>
          <w:lang w:val="en-US"/>
        </w:rPr>
        <w:t>of participants (Appendix 1)</w:t>
      </w:r>
      <w:r>
        <w:rPr>
          <w:lang w:val="en-US"/>
        </w:rPr>
        <w:t xml:space="preserve">. The goal is to recruit 8000 </w:t>
      </w:r>
      <w:r w:rsidR="001275C9">
        <w:rPr>
          <w:lang w:val="en-US"/>
        </w:rPr>
        <w:t xml:space="preserve">Finnish </w:t>
      </w:r>
      <w:r>
        <w:rPr>
          <w:lang w:val="en-US"/>
        </w:rPr>
        <w:t>respondents as nationally representative of gender</w:t>
      </w:r>
      <w:r w:rsidR="00A70656">
        <w:rPr>
          <w:lang w:val="en-US"/>
        </w:rPr>
        <w:t>,</w:t>
      </w:r>
      <w:r>
        <w:rPr>
          <w:lang w:val="en-US"/>
        </w:rPr>
        <w:t xml:space="preserve"> region, </w:t>
      </w:r>
      <w:r w:rsidR="00A70656">
        <w:rPr>
          <w:lang w:val="en-US"/>
        </w:rPr>
        <w:t xml:space="preserve">and </w:t>
      </w:r>
      <w:r>
        <w:rPr>
          <w:lang w:val="en-US"/>
        </w:rPr>
        <w:t xml:space="preserve">age </w:t>
      </w:r>
      <w:r w:rsidR="00A70656">
        <w:rPr>
          <w:lang w:val="en-US"/>
        </w:rPr>
        <w:t xml:space="preserve">(between </w:t>
      </w:r>
      <w:r>
        <w:rPr>
          <w:lang w:val="en-US"/>
        </w:rPr>
        <w:t xml:space="preserve">16–65). </w:t>
      </w:r>
      <w:r w:rsidR="005929DE">
        <w:rPr>
          <w:lang w:val="en-US"/>
        </w:rPr>
        <w:t>W</w:t>
      </w:r>
      <w:r>
        <w:rPr>
          <w:lang w:val="en-US"/>
        </w:rPr>
        <w:t xml:space="preserve">e include two control questions (Oppenheimer et al. 2009) in the survey and remove those responses that fail both. </w:t>
      </w:r>
      <w:r w:rsidR="005929DE">
        <w:rPr>
          <w:lang w:val="en-US"/>
        </w:rPr>
        <w:t>Additionally, p</w:t>
      </w:r>
      <w:r>
        <w:rPr>
          <w:lang w:val="en-US"/>
        </w:rPr>
        <w:t xml:space="preserve">articipants who report not having played videogames within the past six months will not fill out </w:t>
      </w:r>
      <w:r w:rsidR="00B257F6">
        <w:rPr>
          <w:lang w:val="en-US"/>
        </w:rPr>
        <w:t>GRHP</w:t>
      </w:r>
      <w:r>
        <w:rPr>
          <w:lang w:val="en-US"/>
        </w:rPr>
        <w:t xml:space="preserve"> instruments</w:t>
      </w:r>
      <w:r w:rsidR="005929DE">
        <w:rPr>
          <w:lang w:val="en-US"/>
        </w:rPr>
        <w:t xml:space="preserve"> (except THL1</w:t>
      </w:r>
      <w:r w:rsidR="006B32D6">
        <w:rPr>
          <w:lang w:val="en-US"/>
        </w:rPr>
        <w:t xml:space="preserve"> for control purposes</w:t>
      </w:r>
      <w:r w:rsidR="005929DE">
        <w:rPr>
          <w:lang w:val="en-US"/>
        </w:rPr>
        <w:t>)</w:t>
      </w:r>
      <w:r>
        <w:rPr>
          <w:lang w:val="en-US"/>
        </w:rPr>
        <w:t xml:space="preserve">, and they will be considered not </w:t>
      </w:r>
      <w:r w:rsidR="00A70656">
        <w:rPr>
          <w:lang w:val="en-US"/>
        </w:rPr>
        <w:t xml:space="preserve">having </w:t>
      </w:r>
      <w:r w:rsidR="00B257F6">
        <w:rPr>
          <w:lang w:val="en-US"/>
        </w:rPr>
        <w:t>GRHPs</w:t>
      </w:r>
      <w:r>
        <w:rPr>
          <w:lang w:val="en-US"/>
        </w:rPr>
        <w:t>. The order of the screening instruments will be randomized.</w:t>
      </w:r>
    </w:p>
    <w:p w14:paraId="43BCA12E" w14:textId="4CE17B41" w:rsidR="00CE6598" w:rsidRDefault="00836E32">
      <w:pPr>
        <w:ind w:firstLine="720"/>
        <w:jc w:val="both"/>
        <w:rPr>
          <w:lang w:val="en-US"/>
        </w:rPr>
      </w:pPr>
      <w:r>
        <w:rPr>
          <w:b/>
          <w:lang w:val="en-US"/>
        </w:rPr>
        <w:t>H1</w:t>
      </w:r>
      <w:r>
        <w:rPr>
          <w:lang w:val="en-US"/>
        </w:rPr>
        <w:t xml:space="preserve">. Our sample size calculation for the estimated prevalence rates is based on precision rather than power (see Rothman &amp; Greenland, 2018). We calculated the required sample size of 7668 participants based on the 95% confidence interval around the point estimate 0.2, which corresponds </w:t>
      </w:r>
      <w:r w:rsidR="004E538D">
        <w:rPr>
          <w:lang w:val="en-US"/>
        </w:rPr>
        <w:t>with</w:t>
      </w:r>
      <w:r>
        <w:rPr>
          <w:lang w:val="en-US"/>
        </w:rPr>
        <w:t xml:space="preserve"> the </w:t>
      </w:r>
      <w:r w:rsidR="004E538D">
        <w:rPr>
          <w:lang w:val="en-US"/>
        </w:rPr>
        <w:t xml:space="preserve">smallest prevalence rate </w:t>
      </w:r>
      <w:r>
        <w:rPr>
          <w:lang w:val="en-US"/>
        </w:rPr>
        <w:t>in the pilot</w:t>
      </w:r>
      <w:r w:rsidR="00942B74">
        <w:rPr>
          <w:lang w:val="en-US"/>
        </w:rPr>
        <w:t xml:space="preserve"> (GDT)</w:t>
      </w:r>
      <w:r>
        <w:rPr>
          <w:lang w:val="en-US"/>
        </w:rPr>
        <w:t xml:space="preserve">. </w:t>
      </w:r>
      <w:r w:rsidR="004E538D">
        <w:rPr>
          <w:lang w:val="en-US"/>
        </w:rPr>
        <w:t>Thus,</w:t>
      </w:r>
      <w:r>
        <w:rPr>
          <w:lang w:val="en-US"/>
        </w:rPr>
        <w:t xml:space="preserve"> </w:t>
      </w:r>
      <w:r>
        <w:rPr>
          <w:i/>
          <w:lang w:val="en-US"/>
        </w:rPr>
        <w:t>N</w:t>
      </w:r>
      <w:r>
        <w:rPr>
          <w:lang w:val="en-US"/>
        </w:rPr>
        <w:t xml:space="preserve">=8000 </w:t>
      </w:r>
      <w:r w:rsidR="004E538D">
        <w:rPr>
          <w:lang w:val="en-US"/>
        </w:rPr>
        <w:t>is</w:t>
      </w:r>
      <w:r>
        <w:rPr>
          <w:lang w:val="en-US"/>
        </w:rPr>
        <w:t xml:space="preserve"> a rational sample size for precise prevalence analysis and comparison.</w:t>
      </w:r>
    </w:p>
    <w:p w14:paraId="3680472A" w14:textId="67152837" w:rsidR="00CE6598" w:rsidRDefault="00836E32">
      <w:pPr>
        <w:ind w:firstLine="720"/>
        <w:jc w:val="both"/>
        <w:rPr>
          <w:lang w:val="en-US"/>
        </w:rPr>
      </w:pPr>
      <w:r>
        <w:rPr>
          <w:b/>
          <w:lang w:val="en-US"/>
        </w:rPr>
        <w:t>H2</w:t>
      </w:r>
      <w:r>
        <w:rPr>
          <w:lang w:val="en-US"/>
        </w:rPr>
        <w:t>. The sample size is derived from H1.</w:t>
      </w:r>
    </w:p>
    <w:p w14:paraId="404F84A2" w14:textId="006DFE58" w:rsidR="00CE6598" w:rsidRDefault="00836E32" w:rsidP="0098696B">
      <w:pPr>
        <w:ind w:firstLine="720"/>
        <w:jc w:val="both"/>
        <w:rPr>
          <w:lang w:val="en-US"/>
        </w:rPr>
      </w:pPr>
      <w:r>
        <w:rPr>
          <w:b/>
          <w:lang w:val="en-US"/>
        </w:rPr>
        <w:t>H3</w:t>
      </w:r>
      <w:r>
        <w:rPr>
          <w:lang w:val="en-US"/>
        </w:rPr>
        <w:t>. The sample size requirement for H3</w:t>
      </w:r>
      <w:r w:rsidR="00D1763D">
        <w:rPr>
          <w:lang w:val="en-US"/>
        </w:rPr>
        <w:t>a–b</w:t>
      </w:r>
      <w:r>
        <w:rPr>
          <w:lang w:val="en-US"/>
        </w:rPr>
        <w:t xml:space="preserve"> is based on power analysis for the Welch t-test (one-sided). For the desired power level of 0.9, alpha set to 0.025 (using multiple comparison correction), and the expected sizes of the group</w:t>
      </w:r>
      <w:r w:rsidR="00942B74">
        <w:rPr>
          <w:lang w:val="en-US"/>
        </w:rPr>
        <w:t>s</w:t>
      </w:r>
      <w:r>
        <w:rPr>
          <w:lang w:val="en-US"/>
        </w:rPr>
        <w:t xml:space="preserve"> (</w:t>
      </w:r>
      <w:r w:rsidR="00942B74" w:rsidRPr="00D329B4">
        <w:rPr>
          <w:lang w:val="en-US"/>
        </w:rPr>
        <w:t>GAS7</w:t>
      </w:r>
      <w:r>
        <w:rPr>
          <w:lang w:val="en-US"/>
        </w:rPr>
        <w:t>=712; 8.9%</w:t>
      </w:r>
      <w:r w:rsidR="00942B74">
        <w:rPr>
          <w:lang w:val="en-US"/>
        </w:rPr>
        <w:t xml:space="preserve">; </w:t>
      </w:r>
      <w:r w:rsidR="00942B74" w:rsidRPr="00D329B4">
        <w:rPr>
          <w:lang w:val="en-US"/>
        </w:rPr>
        <w:t>THL1</w:t>
      </w:r>
      <w:r>
        <w:rPr>
          <w:lang w:val="en-US"/>
        </w:rPr>
        <w:t>=</w:t>
      </w:r>
      <w:r w:rsidR="00D1763D">
        <w:rPr>
          <w:lang w:val="en-US"/>
        </w:rPr>
        <w:t>1104</w:t>
      </w:r>
      <w:r>
        <w:rPr>
          <w:lang w:val="en-US"/>
        </w:rPr>
        <w:t xml:space="preserve">; </w:t>
      </w:r>
      <w:r w:rsidR="00D1763D">
        <w:rPr>
          <w:lang w:val="en-US"/>
        </w:rPr>
        <w:t>13</w:t>
      </w:r>
      <w:r>
        <w:rPr>
          <w:lang w:val="en-US"/>
        </w:rPr>
        <w:t>.</w:t>
      </w:r>
      <w:r w:rsidR="00D1763D">
        <w:rPr>
          <w:lang w:val="en-US"/>
        </w:rPr>
        <w:t>8</w:t>
      </w:r>
      <w:r>
        <w:rPr>
          <w:lang w:val="en-US"/>
        </w:rPr>
        <w:t xml:space="preserve">%) when the target sample size is </w:t>
      </w:r>
      <w:r>
        <w:rPr>
          <w:i/>
          <w:lang w:val="en-US"/>
        </w:rPr>
        <w:t>N</w:t>
      </w:r>
      <w:r>
        <w:rPr>
          <w:lang w:val="en-US"/>
        </w:rPr>
        <w:t xml:space="preserve">=8000, we have power to reliably detect </w:t>
      </w:r>
      <w:r>
        <w:rPr>
          <w:i/>
          <w:lang w:val="en-US"/>
        </w:rPr>
        <w:t>d</w:t>
      </w:r>
      <w:r>
        <w:rPr>
          <w:lang w:val="en-US"/>
        </w:rPr>
        <w:t>=0.1</w:t>
      </w:r>
      <w:r w:rsidR="00E10CF5">
        <w:rPr>
          <w:lang w:val="en-US"/>
        </w:rPr>
        <w:t>27</w:t>
      </w:r>
      <w:r>
        <w:rPr>
          <w:lang w:val="en-US"/>
        </w:rPr>
        <w:t xml:space="preserve"> and </w:t>
      </w:r>
      <w:r>
        <w:rPr>
          <w:i/>
          <w:lang w:val="en-US"/>
        </w:rPr>
        <w:t>d</w:t>
      </w:r>
      <w:r>
        <w:rPr>
          <w:lang w:val="en-US"/>
        </w:rPr>
        <w:t>=</w:t>
      </w:r>
      <w:r w:rsidRPr="007C7461">
        <w:rPr>
          <w:lang w:val="en-US"/>
        </w:rPr>
        <w:t>0.</w:t>
      </w:r>
      <w:r w:rsidR="007C7461">
        <w:rPr>
          <w:lang w:val="en-US"/>
        </w:rPr>
        <w:t>1</w:t>
      </w:r>
      <w:r w:rsidR="00E10CF5">
        <w:rPr>
          <w:lang w:val="en-US"/>
        </w:rPr>
        <w:t>05</w:t>
      </w:r>
      <w:r>
        <w:rPr>
          <w:lang w:val="en-US"/>
        </w:rPr>
        <w:t xml:space="preserve">, respectively. </w:t>
      </w:r>
      <w:r w:rsidR="004E538D">
        <w:rPr>
          <w:lang w:val="en-US"/>
        </w:rPr>
        <w:t>This meets our smallest effect size of interest (</w:t>
      </w:r>
      <w:r w:rsidR="004E538D" w:rsidRPr="0098696B">
        <w:rPr>
          <w:i/>
          <w:iCs/>
          <w:lang w:val="en-US"/>
        </w:rPr>
        <w:t>d</w:t>
      </w:r>
      <w:r w:rsidR="004E538D">
        <w:rPr>
          <w:lang w:val="en-US"/>
        </w:rPr>
        <w:t xml:space="preserve">=0.22). </w:t>
      </w:r>
      <w:r w:rsidR="0020509F">
        <w:rPr>
          <w:lang w:val="en-US"/>
        </w:rPr>
        <w:t>We will only make inferences based on the effects that reliably detectable by the final identified groups</w:t>
      </w:r>
      <w:r>
        <w:rPr>
          <w:lang w:val="en-US"/>
        </w:rPr>
        <w:t>.</w:t>
      </w:r>
      <w:r w:rsidR="001B6A74">
        <w:rPr>
          <w:lang w:val="en-US"/>
        </w:rPr>
        <w:t xml:space="preserve"> </w:t>
      </w:r>
      <w:r w:rsidR="001B6A74" w:rsidRPr="001B6A74">
        <w:rPr>
          <w:lang w:val="en-US"/>
        </w:rPr>
        <w:t>The sample for H3c</w:t>
      </w:r>
      <w:r w:rsidR="001B6A74">
        <w:rPr>
          <w:lang w:val="en-US"/>
        </w:rPr>
        <w:t xml:space="preserve"> derives from</w:t>
      </w:r>
      <w:r w:rsidR="001B6A74" w:rsidRPr="001B6A74">
        <w:rPr>
          <w:lang w:val="en-US"/>
        </w:rPr>
        <w:t xml:space="preserve"> sensitivity analysis for the Welch t-test (two-sided). Based on the 95% confidence intervals of the above prevalence</w:t>
      </w:r>
      <w:r w:rsidR="0098696B">
        <w:rPr>
          <w:lang w:val="en-US"/>
        </w:rPr>
        <w:t xml:space="preserve">, </w:t>
      </w:r>
      <w:r w:rsidR="001B6A74" w:rsidRPr="001B6A74">
        <w:rPr>
          <w:lang w:val="en-US"/>
        </w:rPr>
        <w:t>sensitivity analysis with the desired power level of 0.9 and alpha set to 0.0</w:t>
      </w:r>
      <w:r w:rsidR="00E10CF5">
        <w:rPr>
          <w:lang w:val="en-US"/>
        </w:rPr>
        <w:t>2</w:t>
      </w:r>
      <w:r w:rsidR="001B6A74" w:rsidRPr="001B6A74">
        <w:rPr>
          <w:lang w:val="en-US"/>
        </w:rPr>
        <w:t xml:space="preserve">5 showed that we would be able to reliably detect </w:t>
      </w:r>
      <w:r w:rsidR="001B6A74" w:rsidRPr="001B6A74">
        <w:rPr>
          <w:i/>
          <w:iCs/>
          <w:lang w:val="en-US"/>
        </w:rPr>
        <w:t>d</w:t>
      </w:r>
      <w:r w:rsidR="001B6A74" w:rsidRPr="001B6A74">
        <w:rPr>
          <w:lang w:val="en-US"/>
        </w:rPr>
        <w:t>=0.1</w:t>
      </w:r>
      <w:r w:rsidR="00E10CF5">
        <w:rPr>
          <w:lang w:val="en-US"/>
        </w:rPr>
        <w:t>85</w:t>
      </w:r>
      <w:r w:rsidR="001B6A74" w:rsidRPr="001B6A74">
        <w:rPr>
          <w:lang w:val="en-US"/>
        </w:rPr>
        <w:t xml:space="preserve"> or </w:t>
      </w:r>
      <w:r w:rsidR="001B6A74" w:rsidRPr="001B6A74">
        <w:rPr>
          <w:i/>
          <w:iCs/>
          <w:lang w:val="en-US"/>
        </w:rPr>
        <w:t>d</w:t>
      </w:r>
      <w:r w:rsidR="001B6A74" w:rsidRPr="001B6A74">
        <w:rPr>
          <w:lang w:val="en-US"/>
        </w:rPr>
        <w:t>=0.1</w:t>
      </w:r>
      <w:r w:rsidR="00E10CF5">
        <w:rPr>
          <w:lang w:val="en-US"/>
        </w:rPr>
        <w:t>55</w:t>
      </w:r>
      <w:r w:rsidR="001B6A74" w:rsidRPr="001B6A74">
        <w:rPr>
          <w:lang w:val="en-US"/>
        </w:rPr>
        <w:t>, respectively.</w:t>
      </w:r>
      <w:r w:rsidR="0098696B">
        <w:rPr>
          <w:lang w:val="en-US"/>
        </w:rPr>
        <w:t xml:space="preserve"> </w:t>
      </w:r>
      <w:r>
        <w:rPr>
          <w:lang w:val="en-US"/>
        </w:rPr>
        <w:t xml:space="preserve">The code of is available at: </w:t>
      </w:r>
      <w:hyperlink r:id="rId11">
        <w:r>
          <w:rPr>
            <w:rStyle w:val="Internetovodkaz"/>
            <w:lang w:val="en-US"/>
          </w:rPr>
          <w:t>https://osf.io/6fqm5/</w:t>
        </w:r>
      </w:hyperlink>
      <w:r>
        <w:rPr>
          <w:lang w:val="en-US"/>
        </w:rPr>
        <w:t xml:space="preserve"> </w:t>
      </w:r>
    </w:p>
    <w:p w14:paraId="45A01CC8" w14:textId="77777777" w:rsidR="00CE6598" w:rsidRDefault="00CE6598">
      <w:pPr>
        <w:jc w:val="both"/>
        <w:rPr>
          <w:lang w:val="en-US"/>
        </w:rPr>
      </w:pPr>
    </w:p>
    <w:p w14:paraId="2A7D0E02" w14:textId="77777777" w:rsidR="00CE6598" w:rsidRDefault="00836E32">
      <w:pPr>
        <w:jc w:val="both"/>
        <w:rPr>
          <w:b/>
          <w:bCs/>
          <w:i/>
          <w:lang w:val="en-US"/>
        </w:rPr>
      </w:pPr>
      <w:r>
        <w:rPr>
          <w:b/>
          <w:bCs/>
          <w:i/>
          <w:lang w:val="en-US"/>
        </w:rPr>
        <w:t>Analysis plan</w:t>
      </w:r>
    </w:p>
    <w:p w14:paraId="32D3460E" w14:textId="333EE398" w:rsidR="00CE6598" w:rsidRPr="0072681F" w:rsidRDefault="00836E32">
      <w:pPr>
        <w:ind w:firstLine="720"/>
        <w:jc w:val="both"/>
        <w:rPr>
          <w:lang w:val="en-US"/>
        </w:rPr>
      </w:pPr>
      <w:r>
        <w:rPr>
          <w:b/>
          <w:lang w:val="en-US"/>
        </w:rPr>
        <w:t>H1</w:t>
      </w:r>
      <w:r>
        <w:rPr>
          <w:lang w:val="en-US"/>
        </w:rPr>
        <w:t xml:space="preserve">. We will calculate the prevalence rates with 95% confidence intervals for each of the four instruments. </w:t>
      </w:r>
      <w:r w:rsidR="00A41A0B">
        <w:rPr>
          <w:lang w:val="en-US"/>
        </w:rPr>
        <w:t>As the</w:t>
      </w:r>
      <w:r w:rsidR="00750B22">
        <w:rPr>
          <w:lang w:val="en-US"/>
        </w:rPr>
        <w:t xml:space="preserve"> ontology of each diagnostic manual</w:t>
      </w:r>
      <w:r w:rsidR="00A41A0B">
        <w:rPr>
          <w:lang w:val="en-US"/>
        </w:rPr>
        <w:t xml:space="preserve"> is linked to </w:t>
      </w:r>
      <w:r w:rsidR="007C7461">
        <w:rPr>
          <w:lang w:val="en-US"/>
        </w:rPr>
        <w:t xml:space="preserve">their recommended </w:t>
      </w:r>
      <w:r w:rsidR="00A41A0B">
        <w:rPr>
          <w:lang w:val="en-US"/>
        </w:rPr>
        <w:t>cutoff</w:t>
      </w:r>
      <w:r w:rsidR="007C7461">
        <w:rPr>
          <w:lang w:val="en-US"/>
        </w:rPr>
        <w:t>s</w:t>
      </w:r>
      <w:r w:rsidR="00A41A0B">
        <w:rPr>
          <w:lang w:val="en-US"/>
        </w:rPr>
        <w:t xml:space="preserve"> (</w:t>
      </w:r>
      <w:r w:rsidR="00A827F3">
        <w:rPr>
          <w:lang w:val="en-US"/>
        </w:rPr>
        <w:t>second</w:t>
      </w:r>
      <w:r w:rsidR="00A41A0B">
        <w:rPr>
          <w:lang w:val="en-US"/>
        </w:rPr>
        <w:t xml:space="preserve"> dimension in Introduction)</w:t>
      </w:r>
      <w:r w:rsidR="00750B22">
        <w:rPr>
          <w:lang w:val="en-US"/>
        </w:rPr>
        <w:t xml:space="preserve">, we follow </w:t>
      </w:r>
      <w:r w:rsidR="007C7461">
        <w:rPr>
          <w:lang w:val="en-US"/>
        </w:rPr>
        <w:t>the recommendations</w:t>
      </w:r>
      <w:r w:rsidR="001B6A74">
        <w:rPr>
          <w:lang w:val="en-US"/>
        </w:rPr>
        <w:t xml:space="preserve"> (Appendix 1)</w:t>
      </w:r>
      <w:r w:rsidR="00750B22">
        <w:rPr>
          <w:lang w:val="en-US"/>
        </w:rPr>
        <w:t xml:space="preserve">. </w:t>
      </w:r>
      <w:r>
        <w:rPr>
          <w:lang w:val="en-US"/>
        </w:rPr>
        <w:t>We apply the method described by Dienes: “</w:t>
      </w:r>
      <w:r w:rsidRPr="0072681F">
        <w:rPr>
          <w:lang w:val="en-US"/>
        </w:rPr>
        <w:t>If the CI lies mainly in the H0 interval</w:t>
      </w:r>
      <w:r>
        <w:rPr>
          <w:lang w:val="en-US"/>
        </w:rPr>
        <w:t xml:space="preserve"> </w:t>
      </w:r>
      <w:r w:rsidRPr="0072681F">
        <w:rPr>
          <w:lang w:val="en-US"/>
        </w:rPr>
        <w:t xml:space="preserve">and the remaining minority only in the grey interval, one could accept H0; similarly, if the CI lies mainly in the H1 interval and the remaining minority only in the grey interval, accept H1; </w:t>
      </w:r>
      <w:proofErr w:type="gramStart"/>
      <w:r w:rsidRPr="0072681F">
        <w:rPr>
          <w:lang w:val="en-US"/>
        </w:rPr>
        <w:t>otherwise</w:t>
      </w:r>
      <w:proofErr w:type="gramEnd"/>
      <w:r w:rsidRPr="0072681F">
        <w:rPr>
          <w:lang w:val="en-US"/>
        </w:rPr>
        <w:t xml:space="preserve"> more </w:t>
      </w:r>
      <w:r w:rsidRPr="0072681F">
        <w:rPr>
          <w:lang w:val="en-US"/>
        </w:rPr>
        <w:lastRenderedPageBreak/>
        <w:t>data are needed</w:t>
      </w:r>
      <w:r>
        <w:rPr>
          <w:lang w:val="en-US"/>
        </w:rPr>
        <w:t>” (2021, p. 9).</w:t>
      </w:r>
      <w:r w:rsidR="00971850">
        <w:rPr>
          <w:lang w:val="en-US"/>
        </w:rPr>
        <w:t xml:space="preserve"> We </w:t>
      </w:r>
      <w:r w:rsidR="006016E6">
        <w:rPr>
          <w:lang w:val="en-US"/>
        </w:rPr>
        <w:t>set the H0 interval (null corroboration region) to the lower bound of 95% CI in the smallest obtained prevalence rate and the H1 interval (alternative acceptance region) twice above the upper bound of 95% CI in that prevalence rate.</w:t>
      </w:r>
      <w:r w:rsidR="00E5184A">
        <w:rPr>
          <w:lang w:val="en-US"/>
        </w:rPr>
        <w:t xml:space="preserve"> Because assessing what “endorsement” of the above items means is not straightforward (Connolly et al. 2021), we repeat the analyses exploratively by using different endorsement criteria.</w:t>
      </w:r>
    </w:p>
    <w:p w14:paraId="3B479FBD" w14:textId="59B43F4D" w:rsidR="006016E6" w:rsidRPr="003353C1" w:rsidRDefault="00836E32" w:rsidP="00DB6683">
      <w:pPr>
        <w:ind w:firstLine="720"/>
        <w:jc w:val="both"/>
        <w:rPr>
          <w:color w:val="000000" w:themeColor="text1"/>
          <w:lang w:val="en-US"/>
        </w:rPr>
      </w:pPr>
      <w:r>
        <w:rPr>
          <w:b/>
          <w:lang w:val="en-US"/>
        </w:rPr>
        <w:t xml:space="preserve">H2. </w:t>
      </w:r>
      <w:r>
        <w:rPr>
          <w:lang w:val="en-US"/>
        </w:rPr>
        <w:t>The results regarding cutoff overlap will be presented descriptive</w:t>
      </w:r>
      <w:r w:rsidR="00A827F3">
        <w:rPr>
          <w:lang w:val="en-US"/>
        </w:rPr>
        <w:t>ly</w:t>
      </w:r>
      <w:r>
        <w:rPr>
          <w:lang w:val="en-US"/>
        </w:rPr>
        <w:t xml:space="preserve"> based on the above </w:t>
      </w:r>
      <w:r w:rsidRPr="003353C1">
        <w:rPr>
          <w:color w:val="000000" w:themeColor="text1"/>
          <w:lang w:val="en-US"/>
        </w:rPr>
        <w:t>analyses.</w:t>
      </w:r>
      <w:r w:rsidR="00C22B66" w:rsidRPr="003353C1">
        <w:rPr>
          <w:color w:val="000000" w:themeColor="text1"/>
          <w:lang w:val="en-US"/>
        </w:rPr>
        <w:t xml:space="preserve"> For H2, we will test group overlap against conditional probability </w:t>
      </w:r>
      <w:r w:rsidR="00C22B66" w:rsidRPr="003353C1">
        <w:rPr>
          <w:rFonts w:eastAsia="Gungsuh"/>
          <w:i/>
          <w:color w:val="000000" w:themeColor="text1"/>
          <w:lang w:val="en-US"/>
        </w:rPr>
        <w:t>P</w:t>
      </w:r>
      <w:r w:rsidR="00C22B66" w:rsidRPr="003353C1">
        <w:rPr>
          <w:color w:val="000000" w:themeColor="text1"/>
          <w:lang w:val="en-US"/>
        </w:rPr>
        <w:t xml:space="preserve">&gt;0.917. The null is tested against conditional probability </w:t>
      </w:r>
      <w:r w:rsidR="00C22B66" w:rsidRPr="003353C1">
        <w:rPr>
          <w:rFonts w:eastAsia="Gungsuh"/>
          <w:i/>
          <w:color w:val="000000" w:themeColor="text1"/>
          <w:lang w:val="en-US"/>
        </w:rPr>
        <w:t>P</w:t>
      </w:r>
      <w:r w:rsidR="00C22B66" w:rsidRPr="003353C1">
        <w:rPr>
          <w:color w:val="000000" w:themeColor="text1"/>
          <w:lang w:val="en-US"/>
        </w:rPr>
        <w:t>&lt;0.714.</w:t>
      </w:r>
    </w:p>
    <w:p w14:paraId="41FAF9B7" w14:textId="3555D0CB" w:rsidR="00CE6598" w:rsidRDefault="00836E32">
      <w:pPr>
        <w:ind w:firstLine="720"/>
        <w:jc w:val="both"/>
        <w:rPr>
          <w:color w:val="000000" w:themeColor="text1"/>
          <w:lang w:val="en-US"/>
        </w:rPr>
      </w:pPr>
      <w:r>
        <w:rPr>
          <w:b/>
          <w:color w:val="000000" w:themeColor="text1"/>
          <w:lang w:val="en-US"/>
        </w:rPr>
        <w:t>H3</w:t>
      </w:r>
      <w:r w:rsidR="007C7461">
        <w:rPr>
          <w:b/>
          <w:color w:val="000000" w:themeColor="text1"/>
          <w:lang w:val="en-US"/>
        </w:rPr>
        <w:t>a–</w:t>
      </w:r>
      <w:r w:rsidR="00207067">
        <w:rPr>
          <w:b/>
          <w:color w:val="000000" w:themeColor="text1"/>
          <w:lang w:val="en-US"/>
        </w:rPr>
        <w:t>b</w:t>
      </w:r>
      <w:r>
        <w:rPr>
          <w:color w:val="000000" w:themeColor="text1"/>
          <w:lang w:val="en-US"/>
        </w:rPr>
        <w:t xml:space="preserve">. We will compare the means of mental </w:t>
      </w:r>
      <w:r w:rsidR="00A827F3">
        <w:rPr>
          <w:color w:val="000000" w:themeColor="text1"/>
          <w:lang w:val="en-US"/>
        </w:rPr>
        <w:t xml:space="preserve">(GMH-2) </w:t>
      </w:r>
      <w:r>
        <w:rPr>
          <w:color w:val="000000" w:themeColor="text1"/>
          <w:lang w:val="en-US"/>
        </w:rPr>
        <w:t xml:space="preserve">and physical </w:t>
      </w:r>
      <w:r w:rsidR="00A827F3">
        <w:rPr>
          <w:color w:val="000000" w:themeColor="text1"/>
          <w:lang w:val="en-US"/>
        </w:rPr>
        <w:t xml:space="preserve">(GPH-2) </w:t>
      </w:r>
      <w:r>
        <w:rPr>
          <w:color w:val="000000" w:themeColor="text1"/>
          <w:lang w:val="en-US"/>
        </w:rPr>
        <w:t xml:space="preserve">health </w:t>
      </w:r>
      <w:r w:rsidR="00A827F3">
        <w:rPr>
          <w:color w:val="000000" w:themeColor="text1"/>
          <w:lang w:val="en-US"/>
        </w:rPr>
        <w:t>between</w:t>
      </w:r>
      <w:r>
        <w:rPr>
          <w:color w:val="000000" w:themeColor="text1"/>
          <w:lang w:val="en-US"/>
        </w:rPr>
        <w:t xml:space="preserve"> the </w:t>
      </w:r>
      <w:r w:rsidR="00942B74">
        <w:rPr>
          <w:color w:val="000000" w:themeColor="text1"/>
          <w:lang w:val="en-US"/>
        </w:rPr>
        <w:t xml:space="preserve">DSM-IV </w:t>
      </w:r>
      <w:r w:rsidR="00C06D99">
        <w:rPr>
          <w:color w:val="000000" w:themeColor="text1"/>
          <w:lang w:val="en-US"/>
        </w:rPr>
        <w:t>based</w:t>
      </w:r>
      <w:r w:rsidR="00942B74">
        <w:rPr>
          <w:color w:val="000000" w:themeColor="text1"/>
          <w:lang w:val="en-US"/>
        </w:rPr>
        <w:t xml:space="preserve"> </w:t>
      </w:r>
      <w:r>
        <w:rPr>
          <w:color w:val="000000" w:themeColor="text1"/>
          <w:lang w:val="en-US"/>
        </w:rPr>
        <w:t>group and the rest of the sample (o</w:t>
      </w:r>
      <w:r w:rsidR="007C7461">
        <w:rPr>
          <w:color w:val="000000" w:themeColor="text1"/>
          <w:lang w:val="en-US"/>
        </w:rPr>
        <w:t>ne</w:t>
      </w:r>
      <w:r>
        <w:rPr>
          <w:color w:val="000000" w:themeColor="text1"/>
          <w:lang w:val="en-US"/>
        </w:rPr>
        <w:t xml:space="preserve">-tailed </w:t>
      </w:r>
      <w:r w:rsidR="007C7461">
        <w:rPr>
          <w:color w:val="000000" w:themeColor="text1"/>
          <w:lang w:val="en-US"/>
        </w:rPr>
        <w:t>Welch t-test</w:t>
      </w:r>
      <w:r>
        <w:rPr>
          <w:color w:val="000000" w:themeColor="text1"/>
          <w:lang w:val="en-US"/>
        </w:rPr>
        <w:t xml:space="preserve">). This is repeated with </w:t>
      </w:r>
      <w:r w:rsidR="00595783">
        <w:rPr>
          <w:color w:val="000000" w:themeColor="text1"/>
          <w:lang w:val="en-US"/>
        </w:rPr>
        <w:t>S</w:t>
      </w:r>
      <w:r w:rsidR="00942B74">
        <w:rPr>
          <w:color w:val="000000" w:themeColor="text1"/>
          <w:lang w:val="en-US"/>
        </w:rPr>
        <w:t>elf-assess</w:t>
      </w:r>
      <w:r w:rsidR="00595783">
        <w:rPr>
          <w:color w:val="000000" w:themeColor="text1"/>
          <w:lang w:val="en-US"/>
        </w:rPr>
        <w:t>ment</w:t>
      </w:r>
      <w:r>
        <w:rPr>
          <w:color w:val="000000" w:themeColor="text1"/>
          <w:lang w:val="en-US"/>
        </w:rPr>
        <w:t>. Because mental and physical health are measured separately, we carry out the test twice with a corresponding alpha level 0.025 (multiple comparison correction).</w:t>
      </w:r>
      <w:r w:rsidR="00360E65">
        <w:rPr>
          <w:color w:val="000000" w:themeColor="text1"/>
          <w:lang w:val="en-US"/>
        </w:rPr>
        <w:t xml:space="preserve"> Equivalence testing is</w:t>
      </w:r>
      <w:r w:rsidR="00360E65" w:rsidRPr="007C7461">
        <w:rPr>
          <w:color w:val="000000" w:themeColor="text1"/>
          <w:lang w:val="en-US"/>
        </w:rPr>
        <w:t xml:space="preserve"> carried out using the </w:t>
      </w:r>
      <w:proofErr w:type="spellStart"/>
      <w:r w:rsidR="00360E65" w:rsidRPr="007C7461">
        <w:rPr>
          <w:color w:val="000000" w:themeColor="text1"/>
          <w:lang w:val="en-US"/>
        </w:rPr>
        <w:t>TOSTtwo</w:t>
      </w:r>
      <w:proofErr w:type="spellEnd"/>
      <w:r w:rsidR="00360E65" w:rsidRPr="007C7461">
        <w:rPr>
          <w:color w:val="000000" w:themeColor="text1"/>
          <w:lang w:val="en-US"/>
        </w:rPr>
        <w:t xml:space="preserve"> function for an independent t-test </w:t>
      </w:r>
      <w:r w:rsidR="00360E65">
        <w:rPr>
          <w:color w:val="000000" w:themeColor="text1"/>
          <w:lang w:val="en-US"/>
        </w:rPr>
        <w:t>(</w:t>
      </w:r>
      <w:r w:rsidR="00360E65" w:rsidRPr="007C7461">
        <w:rPr>
          <w:color w:val="000000" w:themeColor="text1"/>
          <w:lang w:val="en-US"/>
        </w:rPr>
        <w:t>TOSTER package</w:t>
      </w:r>
      <w:r w:rsidR="00360E65">
        <w:rPr>
          <w:color w:val="000000" w:themeColor="text1"/>
          <w:lang w:val="en-US"/>
        </w:rPr>
        <w:t>)</w:t>
      </w:r>
      <w:r w:rsidR="00360E65" w:rsidRPr="007C7461">
        <w:rPr>
          <w:color w:val="000000" w:themeColor="text1"/>
          <w:lang w:val="en-US"/>
        </w:rPr>
        <w:t xml:space="preserve">. </w:t>
      </w:r>
      <w:r w:rsidR="007C7461">
        <w:rPr>
          <w:color w:val="000000" w:themeColor="text1"/>
          <w:lang w:val="en-US"/>
        </w:rPr>
        <w:t xml:space="preserve">Exploratively, we repeat the analyses with two general population groups: gaming and non-gaming. </w:t>
      </w:r>
      <w:r w:rsidR="00360E65" w:rsidRPr="007C7461">
        <w:rPr>
          <w:color w:val="000000" w:themeColor="text1"/>
          <w:lang w:val="en-US"/>
        </w:rPr>
        <w:t xml:space="preserve">We set our equivalence bounds </w:t>
      </w:r>
      <w:r w:rsidR="00360E65">
        <w:rPr>
          <w:color w:val="000000" w:themeColor="text1"/>
          <w:lang w:val="en-US"/>
        </w:rPr>
        <w:t>by the same smallest effect size of interest</w:t>
      </w:r>
      <w:r w:rsidR="00360E65" w:rsidRPr="007C7461">
        <w:rPr>
          <w:color w:val="000000" w:themeColor="text1"/>
          <w:lang w:val="en-US"/>
        </w:rPr>
        <w:t xml:space="preserve"> (</w:t>
      </w:r>
      <w:r w:rsidR="00360E65" w:rsidRPr="007C7461">
        <w:rPr>
          <w:i/>
          <w:color w:val="000000" w:themeColor="text1"/>
          <w:lang w:val="en-US"/>
        </w:rPr>
        <w:t>d</w:t>
      </w:r>
      <w:r w:rsidR="00360E65" w:rsidRPr="007C7461">
        <w:rPr>
          <w:color w:val="000000" w:themeColor="text1"/>
          <w:lang w:val="en-US"/>
        </w:rPr>
        <w:t>=0.22).</w:t>
      </w:r>
      <w:r w:rsidR="00360E65">
        <w:rPr>
          <w:color w:val="000000" w:themeColor="text1"/>
          <w:lang w:val="en-US"/>
        </w:rPr>
        <w:t xml:space="preserve"> </w:t>
      </w:r>
      <w:r w:rsidR="00207067">
        <w:rPr>
          <w:color w:val="000000" w:themeColor="text1"/>
          <w:lang w:val="en-US"/>
        </w:rPr>
        <w:t>We follow the above in</w:t>
      </w:r>
      <w:r w:rsidR="007C7461">
        <w:rPr>
          <w:color w:val="000000" w:themeColor="text1"/>
          <w:lang w:val="en-US"/>
        </w:rPr>
        <w:t xml:space="preserve"> H3c </w:t>
      </w:r>
      <w:r w:rsidR="00207067">
        <w:rPr>
          <w:color w:val="000000" w:themeColor="text1"/>
          <w:lang w:val="en-US"/>
        </w:rPr>
        <w:t xml:space="preserve">and </w:t>
      </w:r>
      <w:r w:rsidR="00360E65">
        <w:rPr>
          <w:color w:val="000000" w:themeColor="text1"/>
          <w:lang w:val="en-US"/>
        </w:rPr>
        <w:t xml:space="preserve">use THL1 </w:t>
      </w:r>
      <w:r w:rsidR="007C7461">
        <w:rPr>
          <w:color w:val="000000" w:themeColor="text1"/>
          <w:lang w:val="en-US"/>
        </w:rPr>
        <w:t xml:space="preserve">cutoff </w:t>
      </w:r>
      <w:r w:rsidR="00010132">
        <w:rPr>
          <w:color w:val="000000" w:themeColor="text1"/>
          <w:lang w:val="en-US"/>
        </w:rPr>
        <w:t>2</w:t>
      </w:r>
      <w:r w:rsidR="007C7461">
        <w:rPr>
          <w:color w:val="000000" w:themeColor="text1"/>
          <w:lang w:val="en-US"/>
        </w:rPr>
        <w:t>/4</w:t>
      </w:r>
      <w:r w:rsidR="00010132">
        <w:rPr>
          <w:color w:val="000000" w:themeColor="text1"/>
          <w:lang w:val="en-US"/>
        </w:rPr>
        <w:t xml:space="preserve"> in concordance with GAS7 wording</w:t>
      </w:r>
      <w:r w:rsidR="00360E65">
        <w:rPr>
          <w:color w:val="000000" w:themeColor="text1"/>
          <w:lang w:val="en-US"/>
        </w:rPr>
        <w:t xml:space="preserve"> (</w:t>
      </w:r>
      <w:r w:rsidR="00283369">
        <w:rPr>
          <w:color w:val="000000" w:themeColor="text1"/>
          <w:lang w:val="en-US"/>
        </w:rPr>
        <w:t>“</w:t>
      </w:r>
      <w:r w:rsidR="00360E65">
        <w:rPr>
          <w:color w:val="000000" w:themeColor="text1"/>
          <w:lang w:val="en-US"/>
        </w:rPr>
        <w:t>sometimes”).</w:t>
      </w:r>
    </w:p>
    <w:p w14:paraId="544AAEE1" w14:textId="77777777" w:rsidR="00CE6598" w:rsidRDefault="00CE6598">
      <w:pPr>
        <w:jc w:val="both"/>
        <w:rPr>
          <w:lang w:val="en-US"/>
        </w:rPr>
      </w:pPr>
    </w:p>
    <w:p w14:paraId="5023DFEE" w14:textId="77777777" w:rsidR="00CE6598" w:rsidRDefault="00836E32">
      <w:pPr>
        <w:jc w:val="both"/>
        <w:rPr>
          <w:b/>
          <w:lang w:val="en-US"/>
        </w:rPr>
      </w:pPr>
      <w:r>
        <w:rPr>
          <w:b/>
          <w:lang w:val="en-US"/>
        </w:rPr>
        <w:t>References</w:t>
      </w:r>
    </w:p>
    <w:p w14:paraId="7714F28A" w14:textId="385D0052" w:rsidR="00CE6598" w:rsidRDefault="00836E32">
      <w:pPr>
        <w:jc w:val="both"/>
        <w:rPr>
          <w:lang w:val="en-US"/>
        </w:rPr>
      </w:pPr>
      <w:r>
        <w:rPr>
          <w:lang w:val="en-US"/>
        </w:rPr>
        <w:t xml:space="preserve">APA (American Psychiatric Association) 2013. </w:t>
      </w:r>
      <w:r>
        <w:rPr>
          <w:i/>
          <w:iCs/>
          <w:lang w:val="en-US"/>
        </w:rPr>
        <w:t>Diagnostic and Statistical Manual of Mental Disorders</w:t>
      </w:r>
      <w:r>
        <w:rPr>
          <w:lang w:val="en-US"/>
        </w:rPr>
        <w:t>. 5</w:t>
      </w:r>
      <w:r w:rsidRPr="00AF14E3">
        <w:rPr>
          <w:vertAlign w:val="superscript"/>
          <w:lang w:val="en-US"/>
        </w:rPr>
        <w:t>th</w:t>
      </w:r>
      <w:r>
        <w:rPr>
          <w:lang w:val="en-US"/>
        </w:rPr>
        <w:t xml:space="preserve"> edition. APA.</w:t>
      </w:r>
    </w:p>
    <w:p w14:paraId="62E22D24" w14:textId="6C450123" w:rsidR="004009A5" w:rsidRPr="0072681F" w:rsidRDefault="004009A5">
      <w:pPr>
        <w:jc w:val="both"/>
        <w:rPr>
          <w:lang w:val="en-US"/>
        </w:rPr>
      </w:pPr>
      <w:r w:rsidRPr="0072681F">
        <w:rPr>
          <w:lang w:val="en-US"/>
        </w:rPr>
        <w:t>Carras, M. C., &amp; Kardefelt-Winther, D. (2018). When addiction symptoms and life problems diverge: A latent class analysis of problematic gaming in a representative multinational sample of European adolescents. </w:t>
      </w:r>
      <w:r w:rsidRPr="0072681F">
        <w:rPr>
          <w:i/>
          <w:iCs/>
          <w:lang w:val="en-US"/>
        </w:rPr>
        <w:t>European child &amp; adolescent psychiatry</w:t>
      </w:r>
      <w:r w:rsidRPr="0072681F">
        <w:rPr>
          <w:lang w:val="en-US"/>
        </w:rPr>
        <w:t>, </w:t>
      </w:r>
      <w:r w:rsidRPr="0072681F">
        <w:rPr>
          <w:i/>
          <w:iCs/>
          <w:lang w:val="en-US"/>
        </w:rPr>
        <w:t>27</w:t>
      </w:r>
      <w:r w:rsidRPr="0072681F">
        <w:rPr>
          <w:lang w:val="en-US"/>
        </w:rPr>
        <w:t>(4), 513-525.</w:t>
      </w:r>
    </w:p>
    <w:p w14:paraId="76CB656A" w14:textId="78881960" w:rsidR="0001662A" w:rsidRPr="0001662A" w:rsidRDefault="0001662A">
      <w:pPr>
        <w:jc w:val="both"/>
        <w:rPr>
          <w:lang w:val="en-GB"/>
        </w:rPr>
      </w:pPr>
      <w:r w:rsidRPr="0001662A">
        <w:rPr>
          <w:lang w:val="en-GB"/>
        </w:rPr>
        <w:t xml:space="preserve">Connolly, T., Atherton, G., Cross, L., &amp; Kaye, L. K. (2021). The Wild West of measurement: Exploring problematic technology use cut off scores and their relation to psychosocial and behavioural outcomes in adolescence. </w:t>
      </w:r>
      <w:r w:rsidRPr="0001662A">
        <w:rPr>
          <w:i/>
          <w:iCs/>
          <w:lang w:val="en-GB"/>
        </w:rPr>
        <w:t xml:space="preserve">Computers in Human </w:t>
      </w:r>
      <w:proofErr w:type="spellStart"/>
      <w:r w:rsidRPr="0001662A">
        <w:rPr>
          <w:i/>
          <w:iCs/>
          <w:lang w:val="en-GB"/>
        </w:rPr>
        <w:t>Behavior</w:t>
      </w:r>
      <w:proofErr w:type="spellEnd"/>
      <w:r w:rsidRPr="0001662A">
        <w:rPr>
          <w:i/>
          <w:iCs/>
          <w:lang w:val="en-GB"/>
        </w:rPr>
        <w:t>, 125</w:t>
      </w:r>
      <w:r w:rsidRPr="0001662A">
        <w:rPr>
          <w:lang w:val="en-GB"/>
        </w:rPr>
        <w:t xml:space="preserve">, e106965. </w:t>
      </w:r>
    </w:p>
    <w:p w14:paraId="79883585" w14:textId="7848EA41" w:rsidR="00CE6598" w:rsidRPr="0072681F" w:rsidRDefault="00836E32">
      <w:pPr>
        <w:jc w:val="both"/>
        <w:rPr>
          <w:lang w:val="en-US"/>
        </w:rPr>
      </w:pPr>
      <w:r w:rsidRPr="0072681F">
        <w:rPr>
          <w:lang w:val="en-US"/>
        </w:rPr>
        <w:t xml:space="preserve">Dienes, Z. (2020). Obtaining evidence for no effect. </w:t>
      </w:r>
      <w:r w:rsidRPr="0072681F">
        <w:rPr>
          <w:i/>
          <w:iCs/>
          <w:lang w:val="en-US"/>
        </w:rPr>
        <w:t>Collabra: Psychology</w:t>
      </w:r>
      <w:r>
        <w:rPr>
          <w:lang w:val="en-US"/>
        </w:rPr>
        <w:t xml:space="preserve"> (in press). Preprint: </w:t>
      </w:r>
      <w:hyperlink r:id="rId12" w:history="1">
        <w:r w:rsidR="00283369" w:rsidRPr="0072681F">
          <w:rPr>
            <w:rStyle w:val="Hyperlink"/>
            <w:lang w:val="en-US"/>
          </w:rPr>
          <w:t>https://doi</w:t>
        </w:r>
      </w:hyperlink>
      <w:r w:rsidRPr="0072681F">
        <w:rPr>
          <w:lang w:val="en-US"/>
        </w:rPr>
        <w:t>.org/10.31234/osf.io/yc7s5</w:t>
      </w:r>
    </w:p>
    <w:p w14:paraId="398A5621" w14:textId="77777777" w:rsidR="00CE6598" w:rsidRDefault="00836E32">
      <w:pPr>
        <w:jc w:val="both"/>
        <w:rPr>
          <w:lang w:val="en-US"/>
        </w:rPr>
      </w:pPr>
      <w:r>
        <w:rPr>
          <w:lang w:val="en-US"/>
        </w:rPr>
        <w:t xml:space="preserve">Funder, D. C., &amp; Ozer, D. J. (2019). Evaluating effect size in psychological research: Sense and nonsense. </w:t>
      </w:r>
      <w:r>
        <w:rPr>
          <w:i/>
          <w:iCs/>
          <w:lang w:val="en-US"/>
        </w:rPr>
        <w:t>Advances in Methods and Practices in Psychological Science</w:t>
      </w:r>
      <w:r>
        <w:rPr>
          <w:lang w:val="en-US"/>
        </w:rPr>
        <w:t>, 2(2), 156-168.</w:t>
      </w:r>
    </w:p>
    <w:p w14:paraId="0B1712D2" w14:textId="77777777" w:rsidR="00CE6598" w:rsidRDefault="00836E32">
      <w:pPr>
        <w:jc w:val="both"/>
        <w:rPr>
          <w:lang w:val="en-US"/>
        </w:rPr>
      </w:pPr>
      <w:r>
        <w:rPr>
          <w:lang w:val="en-US"/>
        </w:rPr>
        <w:t xml:space="preserve">Hays, R. D., Spritzer, K. L., Thompson, W. W., &amp; </w:t>
      </w:r>
      <w:proofErr w:type="spellStart"/>
      <w:r>
        <w:rPr>
          <w:lang w:val="en-US"/>
        </w:rPr>
        <w:t>Cella</w:t>
      </w:r>
      <w:proofErr w:type="spellEnd"/>
      <w:r>
        <w:rPr>
          <w:lang w:val="en-US"/>
        </w:rPr>
        <w:t xml:space="preserve">, D. (2015). US general population estimate for “excellent” to “poor” self-rated health item. </w:t>
      </w:r>
      <w:r>
        <w:rPr>
          <w:i/>
          <w:iCs/>
          <w:lang w:val="en-US"/>
        </w:rPr>
        <w:t>Journal of General Internal Medicine</w:t>
      </w:r>
      <w:r>
        <w:rPr>
          <w:lang w:val="en-US"/>
        </w:rPr>
        <w:t>, 30(10), 1511-1516.</w:t>
      </w:r>
    </w:p>
    <w:p w14:paraId="0F39CC2C" w14:textId="77777777" w:rsidR="00CE6598" w:rsidRDefault="00836E32">
      <w:pPr>
        <w:jc w:val="both"/>
        <w:rPr>
          <w:lang w:val="en-US"/>
        </w:rPr>
      </w:pPr>
      <w:r>
        <w:rPr>
          <w:lang w:val="en-US"/>
        </w:rPr>
        <w:t xml:space="preserve">Hays, R. D., </w:t>
      </w:r>
      <w:proofErr w:type="spellStart"/>
      <w:r>
        <w:rPr>
          <w:lang w:val="en-US"/>
        </w:rPr>
        <w:t>Schalet</w:t>
      </w:r>
      <w:proofErr w:type="spellEnd"/>
      <w:r>
        <w:rPr>
          <w:lang w:val="en-US"/>
        </w:rPr>
        <w:t xml:space="preserve">, B. D., Spritzer, K. L., &amp; </w:t>
      </w:r>
      <w:proofErr w:type="spellStart"/>
      <w:r>
        <w:rPr>
          <w:lang w:val="en-US"/>
        </w:rPr>
        <w:t>Cella</w:t>
      </w:r>
      <w:proofErr w:type="spellEnd"/>
      <w:r>
        <w:rPr>
          <w:lang w:val="en-US"/>
        </w:rPr>
        <w:t>, D. (2017). Two-item PROMIS® global physical and mental health scales. Journal of patient-reported outcomes, 1(1), 1-5.</w:t>
      </w:r>
    </w:p>
    <w:p w14:paraId="375A6B35" w14:textId="07C34CE3" w:rsidR="00CE6598" w:rsidRPr="00AF14E3" w:rsidRDefault="00836E32">
      <w:pPr>
        <w:jc w:val="both"/>
        <w:rPr>
          <w:lang w:val="en-US"/>
        </w:rPr>
      </w:pPr>
      <w:r w:rsidRPr="00AF14E3">
        <w:rPr>
          <w:lang w:val="fi-FI"/>
        </w:rPr>
        <w:t xml:space="preserve">Karhulahti, V., Martončik, M., &amp; </w:t>
      </w:r>
      <w:proofErr w:type="spellStart"/>
      <w:r w:rsidRPr="00AF14E3">
        <w:rPr>
          <w:lang w:val="fi-FI"/>
        </w:rPr>
        <w:t>Adamkovic</w:t>
      </w:r>
      <w:proofErr w:type="spellEnd"/>
      <w:r w:rsidRPr="00AF14E3">
        <w:rPr>
          <w:lang w:val="fi-FI"/>
        </w:rPr>
        <w:t xml:space="preserve">, M. (2021). </w:t>
      </w:r>
      <w:r>
        <w:rPr>
          <w:lang w:val="en-US"/>
        </w:rPr>
        <w:t xml:space="preserve">Measuring Internet Gaming Disorder and Gaming Disorder: Qualitative Content Validity Analysis of Validated Scales. </w:t>
      </w:r>
      <w:r w:rsidR="00A22BCC" w:rsidRPr="00AF14E3">
        <w:rPr>
          <w:i/>
          <w:iCs/>
          <w:lang w:val="en-US"/>
        </w:rPr>
        <w:t>Assessment</w:t>
      </w:r>
      <w:r w:rsidR="00A22BCC" w:rsidRPr="00AF14E3">
        <w:rPr>
          <w:lang w:val="en-US"/>
        </w:rPr>
        <w:t xml:space="preserve">. </w:t>
      </w:r>
    </w:p>
    <w:p w14:paraId="7EEF1B0A" w14:textId="2C53BFB5" w:rsidR="00CE6598" w:rsidRDefault="00836E32">
      <w:pPr>
        <w:jc w:val="both"/>
        <w:rPr>
          <w:lang w:val="en-US"/>
        </w:rPr>
      </w:pPr>
      <w:r>
        <w:rPr>
          <w:lang w:val="en-US"/>
        </w:rPr>
        <w:t xml:space="preserve">King, D. L., Chamberlain, S. R., Carragher, N., Billieux, J., Stein, D., Mueller, K., … Delfabbro, P. H. (2020). Screening and assessment tools for gaming disorder: A comprehensive systematic review. Clinical Psychology Review, 77, 101831. </w:t>
      </w:r>
      <w:proofErr w:type="gramStart"/>
      <w:r w:rsidR="00283369">
        <w:rPr>
          <w:lang w:val="en-US"/>
        </w:rPr>
        <w:t>D</w:t>
      </w:r>
      <w:r>
        <w:rPr>
          <w:lang w:val="en-US"/>
        </w:rPr>
        <w:t>oi:10.1016/j.cpr</w:t>
      </w:r>
      <w:proofErr w:type="gramEnd"/>
      <w:r>
        <w:rPr>
          <w:lang w:val="en-US"/>
        </w:rPr>
        <w:t xml:space="preserve">.2020.101831  </w:t>
      </w:r>
    </w:p>
    <w:p w14:paraId="35ED507C" w14:textId="6A696639" w:rsidR="00CE6598" w:rsidRDefault="00836E32">
      <w:pPr>
        <w:jc w:val="both"/>
        <w:rPr>
          <w:lang w:val="en-US"/>
        </w:rPr>
      </w:pPr>
      <w:r>
        <w:rPr>
          <w:lang w:val="en-US"/>
        </w:rPr>
        <w:t xml:space="preserve">Király, O., </w:t>
      </w:r>
      <w:proofErr w:type="spellStart"/>
      <w:r>
        <w:rPr>
          <w:lang w:val="en-US"/>
        </w:rPr>
        <w:t>Sleczka</w:t>
      </w:r>
      <w:proofErr w:type="spellEnd"/>
      <w:r>
        <w:rPr>
          <w:lang w:val="en-US"/>
        </w:rPr>
        <w:t xml:space="preserve">, P., Pontes, H. M., </w:t>
      </w:r>
      <w:proofErr w:type="spellStart"/>
      <w:r>
        <w:rPr>
          <w:lang w:val="en-US"/>
        </w:rPr>
        <w:t>Urbán</w:t>
      </w:r>
      <w:proofErr w:type="spellEnd"/>
      <w:r>
        <w:rPr>
          <w:lang w:val="en-US"/>
        </w:rPr>
        <w:t xml:space="preserve">, R., Griffiths, M. D., &amp; Demetrovics, Z. (2017). Validation of the Ten-Item Internet Gaming Disorder Test (IGDT-10) and evaluation of the nine DSM-5 internet gaming disorder criteria. Addictive Behaviors, 64, 253–260. </w:t>
      </w:r>
    </w:p>
    <w:p w14:paraId="6C3576A4" w14:textId="103DD4E7" w:rsidR="00CE6598" w:rsidRDefault="00836E32">
      <w:pPr>
        <w:jc w:val="both"/>
        <w:rPr>
          <w:lang w:val="en-US"/>
        </w:rPr>
      </w:pPr>
      <w:r w:rsidRPr="00220269">
        <w:rPr>
          <w:lang w:val="fi-FI"/>
        </w:rPr>
        <w:t xml:space="preserve">Ko, C. H., Lin, H. C., Lin, P. C., &amp; Yen, J. Y. (2020). </w:t>
      </w:r>
      <w:r>
        <w:rPr>
          <w:lang w:val="en-US"/>
        </w:rPr>
        <w:t xml:space="preserve">Validity, functional </w:t>
      </w:r>
      <w:proofErr w:type="gramStart"/>
      <w:r>
        <w:rPr>
          <w:lang w:val="en-US"/>
        </w:rPr>
        <w:t>impairment</w:t>
      </w:r>
      <w:proofErr w:type="gramEnd"/>
      <w:r>
        <w:rPr>
          <w:lang w:val="en-US"/>
        </w:rPr>
        <w:t xml:space="preserve"> and complications related to Internet gaming disorder in the DSM-5 and gaming disorder in the ICD-11. Australian &amp; New Zealand Journal of Psychiatry, 54(7), 707-718.</w:t>
      </w:r>
    </w:p>
    <w:p w14:paraId="2F1D5D90" w14:textId="72DFE6DA" w:rsidR="00D1763D" w:rsidRPr="0072681F" w:rsidRDefault="00D1763D">
      <w:pPr>
        <w:jc w:val="both"/>
        <w:rPr>
          <w:lang w:val="en-US"/>
        </w:rPr>
      </w:pPr>
      <w:r w:rsidRPr="0072681F">
        <w:rPr>
          <w:lang w:val="en-US"/>
        </w:rPr>
        <w:t>Lakens, D. (2017). Equivalence tests: A practical primer for t tests, correlations, and meta-analyses. </w:t>
      </w:r>
      <w:r w:rsidRPr="0072681F">
        <w:rPr>
          <w:i/>
          <w:iCs/>
          <w:lang w:val="en-US"/>
        </w:rPr>
        <w:t>Social psychological and personality science</w:t>
      </w:r>
      <w:r w:rsidRPr="0072681F">
        <w:rPr>
          <w:lang w:val="en-US"/>
        </w:rPr>
        <w:t>, </w:t>
      </w:r>
      <w:r w:rsidRPr="0072681F">
        <w:rPr>
          <w:i/>
          <w:iCs/>
          <w:lang w:val="en-US"/>
        </w:rPr>
        <w:t>8</w:t>
      </w:r>
      <w:r w:rsidRPr="0072681F">
        <w:rPr>
          <w:lang w:val="en-US"/>
        </w:rPr>
        <w:t>(4), 355-362.</w:t>
      </w:r>
    </w:p>
    <w:p w14:paraId="5A156A5C" w14:textId="77777777" w:rsidR="00CE6598" w:rsidRDefault="00836E32">
      <w:pPr>
        <w:jc w:val="both"/>
        <w:rPr>
          <w:lang w:val="en-US"/>
        </w:rPr>
      </w:pPr>
      <w:r w:rsidRPr="00D1763D">
        <w:rPr>
          <w:lang w:val="en-US"/>
        </w:rPr>
        <w:lastRenderedPageBreak/>
        <w:t xml:space="preserve">Lemmens, J. S., Valkenburg, P. M., &amp; Peter, J. (2009). </w:t>
      </w:r>
      <w:r>
        <w:rPr>
          <w:lang w:val="en-US"/>
        </w:rPr>
        <w:t>Development and validation of a game addiction scale for adolescents. Media psychology, 12(1), 77-95.</w:t>
      </w:r>
    </w:p>
    <w:p w14:paraId="4B6A2769" w14:textId="166C4F6C" w:rsidR="004009A5" w:rsidRPr="0072681F" w:rsidRDefault="004009A5">
      <w:pPr>
        <w:jc w:val="both"/>
        <w:rPr>
          <w:lang w:val="en-US"/>
        </w:rPr>
      </w:pPr>
      <w:r w:rsidRPr="0072681F">
        <w:rPr>
          <w:lang w:val="en-US"/>
        </w:rPr>
        <w:t xml:space="preserve">Myrseth, H., &amp; </w:t>
      </w:r>
      <w:proofErr w:type="spellStart"/>
      <w:r w:rsidRPr="0072681F">
        <w:rPr>
          <w:lang w:val="en-US"/>
        </w:rPr>
        <w:t>Notelaers</w:t>
      </w:r>
      <w:proofErr w:type="spellEnd"/>
      <w:r w:rsidRPr="0072681F">
        <w:rPr>
          <w:lang w:val="en-US"/>
        </w:rPr>
        <w:t>, G. (2018). A latent class approach for classifying the problem and disordered gamers in a group of adolescence. </w:t>
      </w:r>
      <w:r w:rsidRPr="0072681F">
        <w:rPr>
          <w:i/>
          <w:iCs/>
          <w:lang w:val="en-US"/>
        </w:rPr>
        <w:t>Frontiers in psychology</w:t>
      </w:r>
      <w:r w:rsidRPr="0072681F">
        <w:rPr>
          <w:lang w:val="en-US"/>
        </w:rPr>
        <w:t>, </w:t>
      </w:r>
      <w:r w:rsidRPr="0072681F">
        <w:rPr>
          <w:i/>
          <w:iCs/>
          <w:lang w:val="en-US"/>
        </w:rPr>
        <w:t>9</w:t>
      </w:r>
      <w:r w:rsidRPr="0072681F">
        <w:rPr>
          <w:lang w:val="en-US"/>
        </w:rPr>
        <w:t>, 2273.</w:t>
      </w:r>
    </w:p>
    <w:p w14:paraId="5A6C12B8" w14:textId="7EA28190" w:rsidR="00D1763D" w:rsidRDefault="00D1763D">
      <w:pPr>
        <w:jc w:val="both"/>
        <w:rPr>
          <w:lang w:val="en-US"/>
        </w:rPr>
      </w:pPr>
      <w:proofErr w:type="spellStart"/>
      <w:r w:rsidRPr="00D1763D">
        <w:rPr>
          <w:lang w:val="en-US"/>
        </w:rPr>
        <w:t>Neyman</w:t>
      </w:r>
      <w:proofErr w:type="spellEnd"/>
      <w:r w:rsidRPr="00D1763D">
        <w:rPr>
          <w:lang w:val="en-US"/>
        </w:rPr>
        <w:t xml:space="preserve">, J. &amp; Pearson, E. (1933). The testing of statistical hypotheses in relation to probabilities a priori. </w:t>
      </w:r>
      <w:r w:rsidRPr="00D1763D">
        <w:rPr>
          <w:i/>
          <w:iCs/>
          <w:lang w:val="en-US"/>
        </w:rPr>
        <w:t>Mathematical Proceedings of the Cambridge Philosophical Society</w:t>
      </w:r>
      <w:r w:rsidRPr="00D1763D">
        <w:rPr>
          <w:lang w:val="en-US"/>
        </w:rPr>
        <w:t xml:space="preserve">, 29(04), 492–510. </w:t>
      </w:r>
    </w:p>
    <w:p w14:paraId="0CA897BC" w14:textId="77777777" w:rsidR="00CE6598" w:rsidRDefault="00836E32">
      <w:pPr>
        <w:spacing w:line="276" w:lineRule="auto"/>
        <w:jc w:val="both"/>
        <w:rPr>
          <w:lang w:val="en-US"/>
        </w:rPr>
      </w:pPr>
      <w:r>
        <w:rPr>
          <w:lang w:val="en-US"/>
        </w:rPr>
        <w:t xml:space="preserve">Oppenheimer, D. M., </w:t>
      </w:r>
      <w:proofErr w:type="spellStart"/>
      <w:r>
        <w:rPr>
          <w:lang w:val="en-US"/>
        </w:rPr>
        <w:t>Meyvis</w:t>
      </w:r>
      <w:proofErr w:type="spellEnd"/>
      <w:r>
        <w:rPr>
          <w:lang w:val="en-US"/>
        </w:rPr>
        <w:t xml:space="preserve">, T., &amp; </w:t>
      </w:r>
      <w:proofErr w:type="spellStart"/>
      <w:r>
        <w:rPr>
          <w:lang w:val="en-US"/>
        </w:rPr>
        <w:t>Davidenko</w:t>
      </w:r>
      <w:proofErr w:type="spellEnd"/>
      <w:r>
        <w:rPr>
          <w:lang w:val="en-US"/>
        </w:rPr>
        <w:t>, N. (2009). Instructional manipulation checks: Detecting satisficing to increase statistical power. </w:t>
      </w:r>
      <w:r>
        <w:rPr>
          <w:i/>
          <w:iCs/>
          <w:lang w:val="en-US"/>
        </w:rPr>
        <w:t>Journal of experimental social psychology</w:t>
      </w:r>
      <w:r>
        <w:rPr>
          <w:lang w:val="en-US"/>
        </w:rPr>
        <w:t>, </w:t>
      </w:r>
      <w:r>
        <w:rPr>
          <w:i/>
          <w:iCs/>
          <w:lang w:val="en-US"/>
        </w:rPr>
        <w:t>45</w:t>
      </w:r>
      <w:r>
        <w:rPr>
          <w:lang w:val="en-US"/>
        </w:rPr>
        <w:t>(4), 867-872.</w:t>
      </w:r>
    </w:p>
    <w:p w14:paraId="3AD1B06F" w14:textId="542F98C8" w:rsidR="00CE6598" w:rsidRDefault="00836E32">
      <w:pPr>
        <w:jc w:val="both"/>
        <w:rPr>
          <w:lang w:val="en-US"/>
        </w:rPr>
      </w:pPr>
      <w:r>
        <w:rPr>
          <w:lang w:val="en-US"/>
        </w:rPr>
        <w:t xml:space="preserve">Pontes, H. M., </w:t>
      </w:r>
      <w:proofErr w:type="spellStart"/>
      <w:r>
        <w:rPr>
          <w:lang w:val="en-US"/>
        </w:rPr>
        <w:t>Schivinski</w:t>
      </w:r>
      <w:proofErr w:type="spellEnd"/>
      <w:r>
        <w:rPr>
          <w:lang w:val="en-US"/>
        </w:rPr>
        <w:t xml:space="preserve">, B., </w:t>
      </w:r>
      <w:proofErr w:type="spellStart"/>
      <w:r>
        <w:rPr>
          <w:lang w:val="en-US"/>
        </w:rPr>
        <w:t>Sindermann</w:t>
      </w:r>
      <w:proofErr w:type="spellEnd"/>
      <w:r>
        <w:rPr>
          <w:lang w:val="en-US"/>
        </w:rPr>
        <w:t xml:space="preserve">, C., Li, M., Becker, B., Zhou, M., &amp; Montag, C. (2019). Measurement and conceptualization of gaming disorder according to the World Health Organization framework: The development of the Gaming Disorder Test. </w:t>
      </w:r>
      <w:r>
        <w:rPr>
          <w:i/>
          <w:iCs/>
          <w:lang w:val="en-US"/>
        </w:rPr>
        <w:t>International Journal of Mental Health and Addiction</w:t>
      </w:r>
      <w:r>
        <w:rPr>
          <w:lang w:val="en-US"/>
        </w:rPr>
        <w:t xml:space="preserve">. </w:t>
      </w:r>
    </w:p>
    <w:p w14:paraId="196A7872" w14:textId="384A7B82" w:rsidR="00CE6598" w:rsidRPr="00300AF0" w:rsidRDefault="00836E32">
      <w:pPr>
        <w:jc w:val="both"/>
      </w:pPr>
      <w:r>
        <w:rPr>
          <w:lang w:val="en-US"/>
        </w:rPr>
        <w:t xml:space="preserve">PROMIS (2021) PROMIS® Reference Populations. Official instrument website. </w:t>
      </w:r>
      <w:hyperlink r:id="rId13">
        <w:r w:rsidRPr="00300AF0">
          <w:rPr>
            <w:color w:val="1155CC"/>
            <w:u w:val="single"/>
          </w:rPr>
          <w:t>https://www.healthmeasures.net/score-and-interpret/interpret-scores/promis/reference-populations</w:t>
        </w:r>
      </w:hyperlink>
      <w:r w:rsidRPr="00300AF0">
        <w:t xml:space="preserve"> </w:t>
      </w:r>
    </w:p>
    <w:p w14:paraId="1C70FEAC" w14:textId="5881105E" w:rsidR="002813EC" w:rsidRPr="00BB76A7" w:rsidRDefault="002813EC">
      <w:pPr>
        <w:jc w:val="both"/>
      </w:pPr>
      <w:r w:rsidRPr="0072681F">
        <w:rPr>
          <w:lang w:val="en-US"/>
        </w:rPr>
        <w:t>Przybylski, A. K. (2016). Mischievous responding in Internet gaming disorder research. </w:t>
      </w:r>
      <w:r w:rsidRPr="002813EC">
        <w:rPr>
          <w:i/>
          <w:iCs/>
        </w:rPr>
        <w:t>PeerJ</w:t>
      </w:r>
      <w:r w:rsidRPr="002813EC">
        <w:t>, </w:t>
      </w:r>
      <w:r w:rsidRPr="002813EC">
        <w:rPr>
          <w:i/>
          <w:iCs/>
        </w:rPr>
        <w:t>4</w:t>
      </w:r>
      <w:r w:rsidRPr="002813EC">
        <w:t>, e2401.</w:t>
      </w:r>
    </w:p>
    <w:p w14:paraId="78E670BA" w14:textId="66C16C4F" w:rsidR="00CE6598" w:rsidRPr="0072681F" w:rsidRDefault="00836E32">
      <w:pPr>
        <w:jc w:val="both"/>
        <w:rPr>
          <w:lang w:val="en-US"/>
        </w:rPr>
      </w:pPr>
      <w:r>
        <w:rPr>
          <w:lang w:val="fi-FI"/>
        </w:rPr>
        <w:t xml:space="preserve">Puolitaival, T., </w:t>
      </w:r>
      <w:proofErr w:type="spellStart"/>
      <w:r>
        <w:rPr>
          <w:lang w:val="fi-FI"/>
        </w:rPr>
        <w:t>Sieppi</w:t>
      </w:r>
      <w:proofErr w:type="spellEnd"/>
      <w:r>
        <w:rPr>
          <w:lang w:val="fi-FI"/>
        </w:rPr>
        <w:t xml:space="preserve">, M., </w:t>
      </w:r>
      <w:proofErr w:type="spellStart"/>
      <w:r>
        <w:rPr>
          <w:lang w:val="fi-FI"/>
        </w:rPr>
        <w:t>Pyky</w:t>
      </w:r>
      <w:proofErr w:type="spellEnd"/>
      <w:r>
        <w:rPr>
          <w:lang w:val="fi-FI"/>
        </w:rPr>
        <w:t xml:space="preserve">, R., </w:t>
      </w:r>
      <w:proofErr w:type="spellStart"/>
      <w:r>
        <w:rPr>
          <w:lang w:val="fi-FI"/>
        </w:rPr>
        <w:t>Enwald</w:t>
      </w:r>
      <w:proofErr w:type="spellEnd"/>
      <w:r>
        <w:rPr>
          <w:lang w:val="fi-FI"/>
        </w:rPr>
        <w:t xml:space="preserve">, H., Korpelainen, R., &amp; Nurkkala, M. (2020). </w:t>
      </w:r>
      <w:r>
        <w:rPr>
          <w:lang w:val="en-US"/>
        </w:rPr>
        <w:t xml:space="preserve">Health </w:t>
      </w:r>
      <w:proofErr w:type="spellStart"/>
      <w:r>
        <w:rPr>
          <w:lang w:val="en-US"/>
        </w:rPr>
        <w:t>behaviours</w:t>
      </w:r>
      <w:proofErr w:type="spellEnd"/>
      <w:r>
        <w:rPr>
          <w:lang w:val="en-US"/>
        </w:rPr>
        <w:t xml:space="preserve"> associated with video gaming in adolescent men: a cross-sectional </w:t>
      </w:r>
      <w:proofErr w:type="gramStart"/>
      <w:r>
        <w:rPr>
          <w:lang w:val="en-US"/>
        </w:rPr>
        <w:t>population-based</w:t>
      </w:r>
      <w:proofErr w:type="gramEnd"/>
      <w:r>
        <w:rPr>
          <w:lang w:val="en-US"/>
        </w:rPr>
        <w:t xml:space="preserve"> MOPO study. BMC public health, 20(1), 1-8.</w:t>
      </w:r>
      <w:r>
        <w:rPr>
          <w:lang w:val="en-US"/>
        </w:rPr>
        <w:tab/>
        <w:t xml:space="preserve"> </w:t>
      </w:r>
      <w:r>
        <w:rPr>
          <w:lang w:val="en-US"/>
        </w:rPr>
        <w:tab/>
      </w:r>
    </w:p>
    <w:p w14:paraId="3B7F97F1" w14:textId="256501BF" w:rsidR="00CE6598" w:rsidRDefault="00836E32">
      <w:pPr>
        <w:jc w:val="both"/>
      </w:pPr>
      <w:r>
        <w:rPr>
          <w:lang w:val="en-US"/>
        </w:rPr>
        <w:t xml:space="preserve">Rothman, K. J., &amp; Greenland, S. (2018). Planning Study Size Based on Precision Rather Than Power. </w:t>
      </w:r>
      <w:proofErr w:type="spellStart"/>
      <w:r>
        <w:rPr>
          <w:lang w:val="fi-FI"/>
        </w:rPr>
        <w:t>Epidemiology</w:t>
      </w:r>
      <w:proofErr w:type="spellEnd"/>
      <w:r>
        <w:rPr>
          <w:lang w:val="fi-FI"/>
        </w:rPr>
        <w:t xml:space="preserve">, 29(5), 599–603. </w:t>
      </w:r>
    </w:p>
    <w:p w14:paraId="28F4C282" w14:textId="77777777" w:rsidR="00CE6598" w:rsidRPr="00656E92" w:rsidRDefault="00836E32">
      <w:pPr>
        <w:jc w:val="both"/>
      </w:pPr>
      <w:r>
        <w:rPr>
          <w:lang w:val="fi-FI"/>
        </w:rPr>
        <w:t xml:space="preserve">Salonen, A. &amp; Raisamo, S. (2015) </w:t>
      </w:r>
      <w:r>
        <w:rPr>
          <w:i/>
          <w:lang w:val="fi-FI"/>
        </w:rPr>
        <w:t xml:space="preserve">Suomalaisten rahapelaaminen 2015: Rahapelaaminen, rahapeliongelmat ja rahapelaamiseen liittyvät asenteet ja mielipiteet </w:t>
      </w:r>
      <w:proofErr w:type="gramStart"/>
      <w:r>
        <w:rPr>
          <w:i/>
          <w:lang w:val="fi-FI"/>
        </w:rPr>
        <w:t>15-74</w:t>
      </w:r>
      <w:proofErr w:type="gramEnd"/>
      <w:r>
        <w:rPr>
          <w:i/>
          <w:lang w:val="fi-FI"/>
        </w:rPr>
        <w:t>-vuotiailla</w:t>
      </w:r>
      <w:r>
        <w:rPr>
          <w:lang w:val="fi-FI"/>
        </w:rPr>
        <w:t xml:space="preserve">. </w:t>
      </w:r>
      <w:r w:rsidRPr="00656E92">
        <w:rPr>
          <w:lang w:val="fi-FI"/>
        </w:rPr>
        <w:t>Helsinki: THL.</w:t>
      </w:r>
    </w:p>
    <w:p w14:paraId="57ADE091" w14:textId="77777777" w:rsidR="00CE6598" w:rsidRDefault="00836E32">
      <w:pPr>
        <w:jc w:val="both"/>
        <w:rPr>
          <w:lang w:val="en-US"/>
        </w:rPr>
      </w:pPr>
      <w:r w:rsidRPr="00656E92">
        <w:rPr>
          <w:lang w:val="fi-FI"/>
        </w:rPr>
        <w:t xml:space="preserve">Starcevic, V., Choi, T. Y., Kim, T. H., </w:t>
      </w:r>
      <w:proofErr w:type="spellStart"/>
      <w:r w:rsidRPr="00656E92">
        <w:rPr>
          <w:lang w:val="fi-FI"/>
        </w:rPr>
        <w:t>Yoo</w:t>
      </w:r>
      <w:proofErr w:type="spellEnd"/>
      <w:r w:rsidRPr="00656E92">
        <w:rPr>
          <w:lang w:val="fi-FI"/>
        </w:rPr>
        <w:t xml:space="preserve">, S. K., </w:t>
      </w:r>
      <w:proofErr w:type="spellStart"/>
      <w:r w:rsidRPr="00656E92">
        <w:rPr>
          <w:lang w:val="fi-FI"/>
        </w:rPr>
        <w:t>Bae</w:t>
      </w:r>
      <w:proofErr w:type="spellEnd"/>
      <w:r w:rsidRPr="00656E92">
        <w:rPr>
          <w:lang w:val="fi-FI"/>
        </w:rPr>
        <w:t xml:space="preserve">, S., Choi, B. S., &amp; </w:t>
      </w:r>
      <w:proofErr w:type="spellStart"/>
      <w:r w:rsidRPr="00656E92">
        <w:rPr>
          <w:lang w:val="fi-FI"/>
        </w:rPr>
        <w:t>Han</w:t>
      </w:r>
      <w:proofErr w:type="spellEnd"/>
      <w:r w:rsidRPr="00656E92">
        <w:rPr>
          <w:lang w:val="fi-FI"/>
        </w:rPr>
        <w:t xml:space="preserve">, D. H. (2020). </w:t>
      </w:r>
      <w:r>
        <w:rPr>
          <w:lang w:val="en-US"/>
        </w:rPr>
        <w:t>Internet gaming disorder and gaming disorder in the context of seeking and not seeking treatment for video-gaming. Journal of psychiatric research, 129, 31-39.</w:t>
      </w:r>
    </w:p>
    <w:p w14:paraId="448D0C91" w14:textId="77777777" w:rsidR="00CE6598" w:rsidRDefault="00836E32">
      <w:pPr>
        <w:jc w:val="both"/>
        <w:rPr>
          <w:lang w:val="en-US"/>
        </w:rPr>
      </w:pPr>
      <w:r>
        <w:rPr>
          <w:lang w:val="en-US"/>
        </w:rPr>
        <w:t xml:space="preserve">Stevens, M. W., </w:t>
      </w:r>
      <w:proofErr w:type="spellStart"/>
      <w:r>
        <w:rPr>
          <w:lang w:val="en-US"/>
        </w:rPr>
        <w:t>Dorstyn</w:t>
      </w:r>
      <w:proofErr w:type="spellEnd"/>
      <w:r>
        <w:rPr>
          <w:lang w:val="en-US"/>
        </w:rPr>
        <w:t>, D., Delfabbro, P. H., &amp; King, D. L. (2020). Global prevalence of gaming disorder: A systematic review and meta-analysis. Australian &amp; New Zealand Journal of Psychiatry, 0004867420962851.</w:t>
      </w:r>
    </w:p>
    <w:p w14:paraId="7227F41C" w14:textId="77777777" w:rsidR="00CE6598" w:rsidRDefault="00836E32">
      <w:pPr>
        <w:jc w:val="both"/>
      </w:pPr>
      <w:r>
        <w:rPr>
          <w:lang w:val="en-US"/>
        </w:rPr>
        <w:t xml:space="preserve">THL (2021) National PROMIS Centre. Finnish Institute for Health and Welfare. </w:t>
      </w:r>
      <w:hyperlink r:id="rId14">
        <w:r>
          <w:rPr>
            <w:color w:val="1155CC"/>
            <w:u w:val="single"/>
          </w:rPr>
          <w:t>https://thl.fi/fi/web/toimintakyky/toimintakyvyn-arviointi/kansallinen-promis-keskus</w:t>
        </w:r>
      </w:hyperlink>
      <w:r>
        <w:t xml:space="preserve"> </w:t>
      </w:r>
    </w:p>
    <w:p w14:paraId="01CCC36C" w14:textId="77777777" w:rsidR="00CE6598" w:rsidRDefault="00CE6598">
      <w:pPr>
        <w:rPr>
          <w:b/>
        </w:rPr>
      </w:pPr>
    </w:p>
    <w:p w14:paraId="2771B36B" w14:textId="77777777" w:rsidR="00CE6598" w:rsidRDefault="00836E32">
      <w:pPr>
        <w:rPr>
          <w:b/>
          <w:bCs/>
          <w:lang w:val="en-US"/>
        </w:rPr>
      </w:pPr>
      <w:r>
        <w:rPr>
          <w:b/>
          <w:bCs/>
          <w:lang w:val="en-US"/>
        </w:rPr>
        <w:t xml:space="preserve">Acknowledgements </w:t>
      </w:r>
    </w:p>
    <w:p w14:paraId="31EA12F6" w14:textId="49813648" w:rsidR="00CE6598" w:rsidRDefault="00836E32">
      <w:pPr>
        <w:rPr>
          <w:lang w:val="en-US"/>
        </w:rPr>
      </w:pPr>
      <w:r>
        <w:rPr>
          <w:bCs/>
          <w:lang w:val="en-US"/>
        </w:rPr>
        <w:t>The work was supported by the Finnish Work Environment Fund (200349), Academy of Finland (312397), and the Slovak Research and Development Agency under the Contract no. APVV-18-0140.</w:t>
      </w:r>
    </w:p>
    <w:p w14:paraId="7BE6336B" w14:textId="77777777" w:rsidR="00CE6598" w:rsidRDefault="00CE6598">
      <w:pPr>
        <w:rPr>
          <w:b/>
          <w:bCs/>
          <w:lang w:val="en-US"/>
        </w:rPr>
      </w:pPr>
    </w:p>
    <w:p w14:paraId="494F77B9" w14:textId="77777777" w:rsidR="00CE6598" w:rsidRDefault="00836E32">
      <w:pPr>
        <w:rPr>
          <w:b/>
          <w:bCs/>
          <w:lang w:val="en-US"/>
        </w:rPr>
      </w:pPr>
      <w:r>
        <w:rPr>
          <w:b/>
          <w:bCs/>
          <w:lang w:val="en-US"/>
        </w:rPr>
        <w:t xml:space="preserve">Author contributions </w:t>
      </w:r>
    </w:p>
    <w:p w14:paraId="00790412" w14:textId="77777777" w:rsidR="00CE6598" w:rsidRDefault="00836E32">
      <w:pPr>
        <w:rPr>
          <w:lang w:val="en-US"/>
        </w:rPr>
      </w:pPr>
      <w:r>
        <w:rPr>
          <w:bCs/>
          <w:lang w:val="en-US"/>
        </w:rPr>
        <w:t xml:space="preserve">Conceptualization: VMK, JV, RK, MB. Data curation: JV, VMK. Formal analysis: JV, MMA, MMU, MB. Funding Acquisition: VMK, JV, MMU, RK, MB. Investigation: VMK, JV, MMU, RK, MB. Methodology: VMK, JV, MMA, MMU, MB. Project administration: VMK. Resources: VMK, RK. Software: JV, MMA, MMU, MB. Supervision: N/A. Validation: VMK, MMU, MB. Visualization: VMK. Writing original draft: VMK. Writing review &amp; editing: VMK, JV, MMA, MMU, RK, MB. </w:t>
      </w:r>
    </w:p>
    <w:p w14:paraId="3D9DE5DB" w14:textId="77777777" w:rsidR="00CE6598" w:rsidRDefault="00CE6598">
      <w:pPr>
        <w:rPr>
          <w:b/>
          <w:lang w:val="en-US"/>
        </w:rPr>
      </w:pPr>
    </w:p>
    <w:p w14:paraId="03975150" w14:textId="77777777" w:rsidR="00184873" w:rsidRDefault="00184873">
      <w:pPr>
        <w:rPr>
          <w:ins w:id="32" w:author="Karhulahti, Veli-Matti" w:date="2022-01-17T22:22:00Z"/>
          <w:b/>
          <w:bCs/>
          <w:lang w:val="en-US"/>
        </w:rPr>
      </w:pPr>
    </w:p>
    <w:p w14:paraId="6D87C8B1" w14:textId="1FA7CE05" w:rsidR="00CE6598" w:rsidRDefault="00836E32">
      <w:pPr>
        <w:rPr>
          <w:b/>
          <w:bCs/>
          <w:lang w:val="en-US"/>
        </w:rPr>
      </w:pPr>
      <w:r>
        <w:rPr>
          <w:b/>
          <w:bCs/>
          <w:lang w:val="en-US"/>
        </w:rPr>
        <w:lastRenderedPageBreak/>
        <w:t xml:space="preserve">Competing interests </w:t>
      </w:r>
    </w:p>
    <w:p w14:paraId="0D2B1435" w14:textId="77777777" w:rsidR="00CE6598" w:rsidRDefault="00836E32">
      <w:pPr>
        <w:rPr>
          <w:lang w:val="en-US"/>
        </w:rPr>
      </w:pPr>
      <w:r>
        <w:rPr>
          <w:bCs/>
          <w:lang w:val="en-US"/>
        </w:rPr>
        <w:t xml:space="preserve">VMK is one of the PCI Registered Reports recommenders. JV is a CSO in </w:t>
      </w:r>
      <w:proofErr w:type="spellStart"/>
      <w:r>
        <w:rPr>
          <w:bCs/>
          <w:lang w:val="en-US"/>
        </w:rPr>
        <w:t>Kinrate</w:t>
      </w:r>
      <w:proofErr w:type="spellEnd"/>
      <w:r>
        <w:rPr>
          <w:bCs/>
          <w:lang w:val="en-US"/>
        </w:rPr>
        <w:t xml:space="preserve"> Analytics, which provides personalized game recommendations. </w:t>
      </w:r>
    </w:p>
    <w:p w14:paraId="6C044B1B" w14:textId="77777777" w:rsidR="0020509F" w:rsidRDefault="0020509F">
      <w:pPr>
        <w:rPr>
          <w:b/>
          <w:lang w:val="en-US"/>
        </w:rPr>
      </w:pPr>
    </w:p>
    <w:p w14:paraId="6B450DA5" w14:textId="050675F2" w:rsidR="00D27FB4" w:rsidRDefault="00D27FB4" w:rsidP="00184873">
      <w:pPr>
        <w:jc w:val="center"/>
        <w:rPr>
          <w:b/>
          <w:lang w:val="en-US"/>
        </w:rPr>
      </w:pPr>
      <w:r>
        <w:rPr>
          <w:b/>
          <w:lang w:val="en-US"/>
        </w:rPr>
        <w:t>Appendix 0</w:t>
      </w:r>
    </w:p>
    <w:p w14:paraId="76D753E9" w14:textId="77777777" w:rsidR="00D27FB4" w:rsidRDefault="00D27FB4">
      <w:pPr>
        <w:rPr>
          <w:b/>
          <w:lang w:val="en-US"/>
        </w:rPr>
      </w:pPr>
    </w:p>
    <w:p w14:paraId="4287DB91" w14:textId="16C3185D" w:rsidR="00866186" w:rsidRPr="00D27FB4" w:rsidRDefault="00866186" w:rsidP="00866186">
      <w:pPr>
        <w:rPr>
          <w:bCs/>
          <w:lang w:val="en-US"/>
        </w:rPr>
      </w:pPr>
      <w:r>
        <w:rPr>
          <w:bCs/>
          <w:lang w:val="en-US"/>
        </w:rPr>
        <w:t>“</w:t>
      </w:r>
      <w:r w:rsidRPr="00C50545">
        <w:rPr>
          <w:bCs/>
          <w:lang w:val="en-US"/>
        </w:rPr>
        <w:t>Gaming disorder</w:t>
      </w:r>
      <w:r>
        <w:rPr>
          <w:bCs/>
          <w:lang w:val="en-US"/>
        </w:rPr>
        <w:t>”</w:t>
      </w:r>
      <w:r w:rsidR="002467C8">
        <w:rPr>
          <w:bCs/>
          <w:lang w:val="en-US"/>
        </w:rPr>
        <w:t>,</w:t>
      </w:r>
      <w:r w:rsidRPr="00D27FB4">
        <w:rPr>
          <w:bCs/>
          <w:lang w:val="en-US"/>
        </w:rPr>
        <w:t xml:space="preserve"> as </w:t>
      </w:r>
      <w:r>
        <w:rPr>
          <w:bCs/>
          <w:lang w:val="en-US"/>
        </w:rPr>
        <w:t>constructed</w:t>
      </w:r>
      <w:r w:rsidRPr="00D27FB4">
        <w:rPr>
          <w:bCs/>
          <w:lang w:val="en-US"/>
        </w:rPr>
        <w:t xml:space="preserve"> in the ICD-11</w:t>
      </w:r>
      <w:r>
        <w:rPr>
          <w:bCs/>
          <w:lang w:val="en-US"/>
        </w:rPr>
        <w:t xml:space="preserve"> (2022):</w:t>
      </w:r>
      <w:r w:rsidRPr="00D27FB4">
        <w:rPr>
          <w:bCs/>
          <w:lang w:val="en-US"/>
        </w:rPr>
        <w:t xml:space="preserve"> </w:t>
      </w:r>
    </w:p>
    <w:p w14:paraId="70FF2AA1" w14:textId="77777777" w:rsidR="00866186" w:rsidRDefault="00866186" w:rsidP="00866186">
      <w:pPr>
        <w:rPr>
          <w:b/>
          <w:lang w:val="en-US"/>
        </w:rPr>
      </w:pPr>
    </w:p>
    <w:p w14:paraId="08136458" w14:textId="77777777" w:rsidR="00866186" w:rsidRPr="00D27FB4" w:rsidRDefault="00866186" w:rsidP="00866186">
      <w:pPr>
        <w:jc w:val="both"/>
        <w:rPr>
          <w:bCs/>
          <w:i/>
          <w:iCs/>
        </w:rPr>
      </w:pPr>
      <w:r w:rsidRPr="00D27FB4">
        <w:rPr>
          <w:bCs/>
          <w:i/>
          <w:iCs/>
        </w:rPr>
        <w:t>Gaming disorder is characterised by a pattern of persistent or recurrent gaming behaviour (‘digital gaming’ or ‘video-gaming’), which may be online (i.e., over the internet) or offline, manifested by: 1. impaired control over gaming (e.g., onset, frequency, intensity, duration, termination, context); 2. increasing priority given to gaming to the extent that gaming takes precedence over other life interests and daily activities; and 3. continuation or escalation of gaming despite the occurrence of negative consequences. The pattern of gaming behaviour may be continuous or episodic and recurrent. The pattern of gaming behaviour results in marked distress or significant impairment in personal, family, social, educational, occupational, or other important areas of functioning. The gaming behaviour and other features are normally evident over a period of at least 12 months in order for a diagnosis to be assigned, although the required duration may be shortened if all diagnostic requirements are met and symptoms are severe.</w:t>
      </w:r>
    </w:p>
    <w:p w14:paraId="0E08B051" w14:textId="77777777" w:rsidR="00866186" w:rsidRDefault="00866186" w:rsidP="00D27FB4">
      <w:pPr>
        <w:jc w:val="both"/>
        <w:rPr>
          <w:bCs/>
          <w:lang w:val="en-US"/>
        </w:rPr>
      </w:pPr>
    </w:p>
    <w:p w14:paraId="48EB4EB8" w14:textId="558A6993" w:rsidR="00D27FB4" w:rsidRPr="00D27FB4" w:rsidRDefault="00D27FB4" w:rsidP="00D27FB4">
      <w:pPr>
        <w:jc w:val="both"/>
        <w:rPr>
          <w:bCs/>
          <w:lang w:val="en-US"/>
        </w:rPr>
      </w:pPr>
      <w:r>
        <w:rPr>
          <w:bCs/>
          <w:lang w:val="en-US"/>
        </w:rPr>
        <w:t>“</w:t>
      </w:r>
      <w:r w:rsidRPr="00D27FB4">
        <w:rPr>
          <w:bCs/>
          <w:lang w:val="en-US"/>
        </w:rPr>
        <w:t>Internet gaming disorder</w:t>
      </w:r>
      <w:r>
        <w:rPr>
          <w:bCs/>
          <w:lang w:val="en-US"/>
        </w:rPr>
        <w:t>”</w:t>
      </w:r>
      <w:r w:rsidR="002467C8">
        <w:rPr>
          <w:bCs/>
          <w:lang w:val="en-US"/>
        </w:rPr>
        <w:t>,</w:t>
      </w:r>
      <w:r w:rsidRPr="00D27FB4">
        <w:rPr>
          <w:bCs/>
          <w:lang w:val="en-US"/>
        </w:rPr>
        <w:t xml:space="preserve"> as </w:t>
      </w:r>
      <w:r w:rsidR="00866186">
        <w:rPr>
          <w:bCs/>
          <w:lang w:val="en-US"/>
        </w:rPr>
        <w:t>constructed</w:t>
      </w:r>
      <w:r w:rsidRPr="00D27FB4">
        <w:rPr>
          <w:bCs/>
          <w:lang w:val="en-US"/>
        </w:rPr>
        <w:t xml:space="preserve"> in the DSM-5</w:t>
      </w:r>
      <w:r>
        <w:rPr>
          <w:bCs/>
          <w:lang w:val="en-US"/>
        </w:rPr>
        <w:t xml:space="preserve"> (</w:t>
      </w:r>
      <w:r w:rsidR="00C50545">
        <w:rPr>
          <w:bCs/>
          <w:lang w:val="en-US"/>
        </w:rPr>
        <w:t xml:space="preserve">2013, </w:t>
      </w:r>
      <w:r>
        <w:rPr>
          <w:bCs/>
          <w:lang w:val="en-US"/>
        </w:rPr>
        <w:t>p. 795)</w:t>
      </w:r>
      <w:r w:rsidR="00C50545">
        <w:rPr>
          <w:bCs/>
          <w:lang w:val="en-US"/>
        </w:rPr>
        <w:t>:</w:t>
      </w:r>
    </w:p>
    <w:p w14:paraId="682931E3" w14:textId="0F6BBBDE" w:rsidR="00D27FB4" w:rsidRPr="00D27FB4" w:rsidRDefault="00D27FB4" w:rsidP="00D27FB4">
      <w:pPr>
        <w:jc w:val="both"/>
        <w:rPr>
          <w:bCs/>
          <w:lang w:val="en-US"/>
        </w:rPr>
      </w:pPr>
    </w:p>
    <w:p w14:paraId="3990EE80" w14:textId="77777777" w:rsidR="00D27FB4" w:rsidRPr="00D27FB4" w:rsidRDefault="00D27FB4" w:rsidP="00D27FB4">
      <w:pPr>
        <w:jc w:val="both"/>
        <w:rPr>
          <w:bCs/>
          <w:i/>
          <w:iCs/>
        </w:rPr>
      </w:pPr>
      <w:r w:rsidRPr="00D27FB4">
        <w:rPr>
          <w:bCs/>
          <w:i/>
          <w:iCs/>
        </w:rPr>
        <w:t xml:space="preserve">Persistent and recurrent use of the Internet to engage in games, often with other players, leading to clinically significant impairment or distress as indicated by five (or more) of the following in a 12-month period: </w:t>
      </w:r>
    </w:p>
    <w:p w14:paraId="3312E46E" w14:textId="261C244B" w:rsidR="00D27FB4" w:rsidRPr="00D27FB4" w:rsidRDefault="00D27FB4" w:rsidP="00D27FB4">
      <w:pPr>
        <w:jc w:val="both"/>
        <w:rPr>
          <w:bCs/>
          <w:i/>
          <w:iCs/>
        </w:rPr>
      </w:pPr>
    </w:p>
    <w:p w14:paraId="4852D4F9" w14:textId="77777777" w:rsidR="00D27FB4" w:rsidRPr="00D27FB4" w:rsidRDefault="00D27FB4" w:rsidP="00866186">
      <w:pPr>
        <w:ind w:left="142"/>
        <w:rPr>
          <w:bCs/>
          <w:i/>
          <w:iCs/>
        </w:rPr>
      </w:pPr>
      <w:r w:rsidRPr="00D27FB4">
        <w:rPr>
          <w:bCs/>
          <w:i/>
          <w:iCs/>
        </w:rPr>
        <w:t>1. Preoccupation with internet games. The individual thinks about previous gaming activity or anticipates playing the next game. Internet gaming becomes the dominant activity in daily life.</w:t>
      </w:r>
      <w:r w:rsidRPr="00D27FB4">
        <w:rPr>
          <w:bCs/>
          <w:i/>
          <w:iCs/>
        </w:rPr>
        <w:br/>
        <w:t>2. Withdrawal symptoms when internet gaming is taken away. These symptoms are typically described as irritability, anxiety, or sadness, but there are no physical signs of pharmacological withdrawal.</w:t>
      </w:r>
      <w:r w:rsidRPr="00D27FB4">
        <w:rPr>
          <w:bCs/>
          <w:i/>
          <w:iCs/>
        </w:rPr>
        <w:br/>
        <w:t>3. Tolerance The need to spend increasing amounts of time engaged in internet games.</w:t>
      </w:r>
      <w:r w:rsidRPr="00D27FB4">
        <w:rPr>
          <w:bCs/>
          <w:i/>
          <w:iCs/>
        </w:rPr>
        <w:br/>
        <w:t>4. Unsuccessful attempts to control the participation in internet games</w:t>
      </w:r>
      <w:r w:rsidRPr="00D27FB4">
        <w:rPr>
          <w:bCs/>
          <w:i/>
          <w:iCs/>
        </w:rPr>
        <w:br/>
        <w:t>5. Loss of interests in previous hobbies and entertainment as a result of, and with the exception of, internet games</w:t>
      </w:r>
      <w:r w:rsidRPr="00D27FB4">
        <w:rPr>
          <w:bCs/>
          <w:i/>
          <w:iCs/>
        </w:rPr>
        <w:br/>
        <w:t>6. Continued excessive use of internet games despite knowledge of psychosocial problems</w:t>
      </w:r>
      <w:r w:rsidRPr="00D27FB4">
        <w:rPr>
          <w:bCs/>
          <w:i/>
          <w:iCs/>
        </w:rPr>
        <w:br/>
        <w:t>7. Has deceived family members, therapists, or others regarding the amount of internet gaming.</w:t>
      </w:r>
      <w:r w:rsidRPr="00D27FB4">
        <w:rPr>
          <w:bCs/>
          <w:i/>
          <w:iCs/>
        </w:rPr>
        <w:br/>
        <w:t>8. Use of internet games to escape or relieve a negative mood. For example, feelings of helplessness, guilt, anxiety.</w:t>
      </w:r>
      <w:r w:rsidRPr="00D27FB4">
        <w:rPr>
          <w:bCs/>
          <w:i/>
          <w:iCs/>
        </w:rPr>
        <w:br/>
        <w:t>9. Has jeopardized or lost a significant relationship, job, or educational or career opportunity because of participation in internet games</w:t>
      </w:r>
    </w:p>
    <w:p w14:paraId="5F862382" w14:textId="77777777" w:rsidR="00D27FB4" w:rsidRPr="00D27FB4" w:rsidRDefault="00D27FB4">
      <w:pPr>
        <w:rPr>
          <w:b/>
        </w:rPr>
      </w:pPr>
    </w:p>
    <w:p w14:paraId="27BBF330" w14:textId="3A00FDD0" w:rsidR="00C50545" w:rsidRDefault="00C50545">
      <w:pPr>
        <w:rPr>
          <w:bCs/>
          <w:lang w:val="en-US"/>
        </w:rPr>
      </w:pPr>
      <w:r>
        <w:rPr>
          <w:bCs/>
          <w:lang w:val="en-US"/>
        </w:rPr>
        <w:t>“</w:t>
      </w:r>
      <w:r w:rsidRPr="00C50545">
        <w:rPr>
          <w:bCs/>
          <w:lang w:val="en-US"/>
        </w:rPr>
        <w:t>Pathological gambling</w:t>
      </w:r>
      <w:r>
        <w:rPr>
          <w:bCs/>
          <w:lang w:val="en-US"/>
        </w:rPr>
        <w:t>”</w:t>
      </w:r>
      <w:r w:rsidR="002467C8">
        <w:rPr>
          <w:bCs/>
          <w:lang w:val="en-US"/>
        </w:rPr>
        <w:t>,</w:t>
      </w:r>
      <w:r w:rsidRPr="00C50545">
        <w:rPr>
          <w:bCs/>
          <w:lang w:val="en-US"/>
        </w:rPr>
        <w:t xml:space="preserve"> as </w:t>
      </w:r>
      <w:r w:rsidR="00866186">
        <w:rPr>
          <w:bCs/>
          <w:lang w:val="en-US"/>
        </w:rPr>
        <w:t>constructed</w:t>
      </w:r>
      <w:r w:rsidRPr="00C50545">
        <w:rPr>
          <w:bCs/>
          <w:lang w:val="en-US"/>
        </w:rPr>
        <w:t xml:space="preserve"> in the DSM-IV (1994 p. 618)</w:t>
      </w:r>
      <w:r>
        <w:rPr>
          <w:bCs/>
          <w:lang w:val="en-US"/>
        </w:rPr>
        <w:t>:</w:t>
      </w:r>
    </w:p>
    <w:p w14:paraId="6A063906" w14:textId="0BC69D55" w:rsidR="00866186" w:rsidRDefault="00866186">
      <w:pPr>
        <w:rPr>
          <w:bCs/>
          <w:lang w:val="en-US"/>
        </w:rPr>
      </w:pPr>
    </w:p>
    <w:p w14:paraId="1876835B" w14:textId="4DD2863D" w:rsidR="00866186" w:rsidRPr="00866186" w:rsidRDefault="00866186" w:rsidP="00866186">
      <w:pPr>
        <w:numPr>
          <w:ilvl w:val="0"/>
          <w:numId w:val="6"/>
        </w:numPr>
        <w:ind w:left="426" w:hanging="294"/>
        <w:rPr>
          <w:bCs/>
          <w:i/>
          <w:iCs/>
        </w:rPr>
      </w:pPr>
      <w:r w:rsidRPr="00866186">
        <w:rPr>
          <w:bCs/>
          <w:i/>
          <w:iCs/>
        </w:rPr>
        <w:t xml:space="preserve">A preoccupation with gambling (e.g., preoccupation with reliving past gambling experiences, handicapping or thinking of ways to get money with which to gamble) </w:t>
      </w:r>
    </w:p>
    <w:p w14:paraId="1599F255" w14:textId="77777777" w:rsidR="00866186" w:rsidRPr="00866186" w:rsidRDefault="00866186" w:rsidP="00866186">
      <w:pPr>
        <w:numPr>
          <w:ilvl w:val="0"/>
          <w:numId w:val="6"/>
        </w:numPr>
        <w:ind w:left="426" w:hanging="294"/>
        <w:rPr>
          <w:bCs/>
          <w:i/>
          <w:iCs/>
        </w:rPr>
      </w:pPr>
      <w:r w:rsidRPr="00866186">
        <w:rPr>
          <w:bCs/>
          <w:i/>
          <w:iCs/>
        </w:rPr>
        <w:lastRenderedPageBreak/>
        <w:t xml:space="preserve">A need to gamble with increasing amounts of money in order to achieve the desired level of excitement </w:t>
      </w:r>
    </w:p>
    <w:p w14:paraId="4DF26A2A" w14:textId="77777777" w:rsidR="00866186" w:rsidRPr="00866186" w:rsidRDefault="00866186" w:rsidP="00866186">
      <w:pPr>
        <w:numPr>
          <w:ilvl w:val="0"/>
          <w:numId w:val="6"/>
        </w:numPr>
        <w:ind w:left="426" w:hanging="294"/>
        <w:rPr>
          <w:bCs/>
          <w:i/>
          <w:iCs/>
        </w:rPr>
      </w:pPr>
      <w:r w:rsidRPr="00866186">
        <w:rPr>
          <w:bCs/>
          <w:i/>
          <w:iCs/>
        </w:rPr>
        <w:t xml:space="preserve">Repeated, unsuccessful efforts to control, cut back or stop gambling </w:t>
      </w:r>
    </w:p>
    <w:p w14:paraId="67DFAB71" w14:textId="77777777" w:rsidR="00866186" w:rsidRPr="00866186" w:rsidRDefault="00866186" w:rsidP="00866186">
      <w:pPr>
        <w:numPr>
          <w:ilvl w:val="0"/>
          <w:numId w:val="6"/>
        </w:numPr>
        <w:ind w:left="426" w:hanging="294"/>
        <w:rPr>
          <w:bCs/>
          <w:i/>
          <w:iCs/>
        </w:rPr>
      </w:pPr>
      <w:r w:rsidRPr="00866186">
        <w:rPr>
          <w:bCs/>
          <w:i/>
          <w:iCs/>
        </w:rPr>
        <w:t xml:space="preserve">Feels restless or irritable when attempting to cut down or stop gambling (withdrawal symptoms) </w:t>
      </w:r>
    </w:p>
    <w:p w14:paraId="0AC0F442" w14:textId="77777777" w:rsidR="00866186" w:rsidRPr="00866186" w:rsidRDefault="00866186" w:rsidP="00866186">
      <w:pPr>
        <w:numPr>
          <w:ilvl w:val="0"/>
          <w:numId w:val="6"/>
        </w:numPr>
        <w:ind w:left="426" w:hanging="294"/>
        <w:rPr>
          <w:bCs/>
          <w:i/>
          <w:iCs/>
        </w:rPr>
      </w:pPr>
      <w:r w:rsidRPr="00866186">
        <w:rPr>
          <w:bCs/>
          <w:i/>
          <w:iCs/>
        </w:rPr>
        <w:t xml:space="preserve">Uses gambling as a way of escaping from problems or of relieving a dysphoric mood (e.g., feelings of hopelessness, guilt, anxiety and depression) </w:t>
      </w:r>
    </w:p>
    <w:p w14:paraId="2767322A" w14:textId="77777777" w:rsidR="00866186" w:rsidRPr="00866186" w:rsidRDefault="00866186" w:rsidP="00866186">
      <w:pPr>
        <w:numPr>
          <w:ilvl w:val="0"/>
          <w:numId w:val="6"/>
        </w:numPr>
        <w:ind w:left="426" w:hanging="294"/>
        <w:rPr>
          <w:bCs/>
          <w:i/>
          <w:iCs/>
        </w:rPr>
      </w:pPr>
      <w:r w:rsidRPr="00866186">
        <w:rPr>
          <w:bCs/>
          <w:i/>
          <w:iCs/>
        </w:rPr>
        <w:t xml:space="preserve">After losing money gambling, often returns another day to get even (“chasing” one’s losses) </w:t>
      </w:r>
    </w:p>
    <w:p w14:paraId="3CFC32D9" w14:textId="77777777" w:rsidR="00866186" w:rsidRPr="00866186" w:rsidRDefault="00866186" w:rsidP="00866186">
      <w:pPr>
        <w:numPr>
          <w:ilvl w:val="0"/>
          <w:numId w:val="6"/>
        </w:numPr>
        <w:ind w:left="426" w:hanging="294"/>
        <w:rPr>
          <w:bCs/>
          <w:i/>
          <w:iCs/>
        </w:rPr>
      </w:pPr>
      <w:r w:rsidRPr="00866186">
        <w:rPr>
          <w:bCs/>
          <w:i/>
          <w:iCs/>
        </w:rPr>
        <w:t xml:space="preserve">Lies to family members, therapist or others to conceal the extent of one’s involvement with gambling </w:t>
      </w:r>
    </w:p>
    <w:p w14:paraId="32379483" w14:textId="77777777" w:rsidR="00866186" w:rsidRPr="00866186" w:rsidRDefault="00866186" w:rsidP="00866186">
      <w:pPr>
        <w:numPr>
          <w:ilvl w:val="0"/>
          <w:numId w:val="6"/>
        </w:numPr>
        <w:ind w:left="426" w:hanging="294"/>
        <w:rPr>
          <w:bCs/>
          <w:i/>
          <w:iCs/>
        </w:rPr>
      </w:pPr>
      <w:r w:rsidRPr="00866186">
        <w:rPr>
          <w:bCs/>
          <w:i/>
          <w:iCs/>
        </w:rPr>
        <w:t xml:space="preserve">Has committed illegal acts such as forgery, fraud, theft or embezzlement to finance gambling </w:t>
      </w:r>
    </w:p>
    <w:p w14:paraId="19492BBA" w14:textId="77777777" w:rsidR="00866186" w:rsidRPr="00866186" w:rsidRDefault="00866186" w:rsidP="00866186">
      <w:pPr>
        <w:numPr>
          <w:ilvl w:val="0"/>
          <w:numId w:val="6"/>
        </w:numPr>
        <w:ind w:left="426" w:hanging="294"/>
        <w:rPr>
          <w:bCs/>
          <w:i/>
          <w:iCs/>
        </w:rPr>
      </w:pPr>
      <w:r w:rsidRPr="00866186">
        <w:rPr>
          <w:bCs/>
          <w:i/>
          <w:iCs/>
        </w:rPr>
        <w:t xml:space="preserve">Has jeopardized or lost a significant relationship, job or educational or career opportunity because of gambling </w:t>
      </w:r>
    </w:p>
    <w:p w14:paraId="271F32A6" w14:textId="77777777" w:rsidR="00866186" w:rsidRPr="00866186" w:rsidRDefault="00866186" w:rsidP="00866186">
      <w:pPr>
        <w:numPr>
          <w:ilvl w:val="0"/>
          <w:numId w:val="6"/>
        </w:numPr>
        <w:ind w:left="426" w:hanging="294"/>
        <w:rPr>
          <w:bCs/>
          <w:i/>
          <w:iCs/>
        </w:rPr>
      </w:pPr>
      <w:r w:rsidRPr="00866186">
        <w:rPr>
          <w:bCs/>
          <w:i/>
          <w:iCs/>
        </w:rPr>
        <w:t xml:space="preserve">Relies on others to provide money to relieve a desperate financial situation caused by gambling </w:t>
      </w:r>
    </w:p>
    <w:p w14:paraId="10A32B75" w14:textId="5EC6E937" w:rsidR="00845016" w:rsidRDefault="00845016">
      <w:pPr>
        <w:rPr>
          <w:b/>
          <w:lang w:val="en-US"/>
        </w:rPr>
      </w:pPr>
    </w:p>
    <w:p w14:paraId="1140D69D" w14:textId="0637C768" w:rsidR="00CE6598" w:rsidRDefault="00836E32" w:rsidP="00184873">
      <w:pPr>
        <w:jc w:val="center"/>
        <w:rPr>
          <w:lang w:val="en-US"/>
        </w:rPr>
      </w:pPr>
      <w:r>
        <w:rPr>
          <w:b/>
          <w:lang w:val="en-US"/>
        </w:rPr>
        <w:t>Appendix 1</w:t>
      </w:r>
    </w:p>
    <w:p w14:paraId="7F75FB6E" w14:textId="77777777" w:rsidR="00CE6598" w:rsidRDefault="00CE6598">
      <w:pPr>
        <w:jc w:val="both"/>
        <w:rPr>
          <w:lang w:val="en-US"/>
        </w:rPr>
      </w:pPr>
    </w:p>
    <w:p w14:paraId="3CF2FB14" w14:textId="7D0DA727" w:rsidR="001B6A74" w:rsidRDefault="00836E32">
      <w:pPr>
        <w:jc w:val="both"/>
        <w:rPr>
          <w:lang w:val="en-US"/>
        </w:rPr>
      </w:pPr>
      <w:r>
        <w:rPr>
          <w:lang w:val="en-US"/>
        </w:rPr>
        <w:t xml:space="preserve">To be able to set </w:t>
      </w:r>
      <w:r w:rsidR="00845016">
        <w:rPr>
          <w:lang w:val="en-US"/>
        </w:rPr>
        <w:t>informed</w:t>
      </w:r>
      <w:r>
        <w:rPr>
          <w:lang w:val="en-US"/>
        </w:rPr>
        <w:t xml:space="preserve"> expectations for our hypotheses, we acquired pilot data (</w:t>
      </w:r>
      <w:r>
        <w:rPr>
          <w:i/>
          <w:lang w:val="en-US"/>
        </w:rPr>
        <w:t>N</w:t>
      </w:r>
      <w:r>
        <w:rPr>
          <w:lang w:val="en-US"/>
        </w:rPr>
        <w:t xml:space="preserve">=1000) by using the recruitment services of the company Bilendi (a company specialized in recruiting survey samples). </w:t>
      </w:r>
      <w:r w:rsidR="00B20EA2">
        <w:rPr>
          <w:lang w:val="en-US"/>
        </w:rPr>
        <w:t>D</w:t>
      </w:r>
      <w:r w:rsidR="00D03DD4">
        <w:rPr>
          <w:lang w:val="en-US"/>
        </w:rPr>
        <w:t xml:space="preserve">ata </w:t>
      </w:r>
      <w:r w:rsidR="00B20EA2">
        <w:rPr>
          <w:lang w:val="en-US"/>
        </w:rPr>
        <w:t xml:space="preserve">collection </w:t>
      </w:r>
      <w:r w:rsidR="00D03DD4">
        <w:rPr>
          <w:lang w:val="en-US"/>
        </w:rPr>
        <w:t xml:space="preserve">took </w:t>
      </w:r>
      <w:r w:rsidR="00B20EA2">
        <w:rPr>
          <w:lang w:val="en-US"/>
        </w:rPr>
        <w:t>three days—</w:t>
      </w:r>
      <w:r w:rsidR="00D03DD4">
        <w:rPr>
          <w:lang w:val="en-US"/>
        </w:rPr>
        <w:t xml:space="preserve">the </w:t>
      </w:r>
      <w:r w:rsidR="00B20EA2">
        <w:rPr>
          <w:lang w:val="en-US"/>
        </w:rPr>
        <w:t xml:space="preserve">company estimated that our upcoming </w:t>
      </w:r>
      <w:r w:rsidR="00B20EA2" w:rsidRPr="00B20EA2">
        <w:rPr>
          <w:i/>
          <w:iCs/>
          <w:lang w:val="en-US"/>
        </w:rPr>
        <w:t>N</w:t>
      </w:r>
      <w:r w:rsidR="00B20EA2">
        <w:rPr>
          <w:lang w:val="en-US"/>
        </w:rPr>
        <w:t xml:space="preserve">=8000 might take up to a month to collect—and the participants were incentivized </w:t>
      </w:r>
      <w:r w:rsidR="00F50194">
        <w:rPr>
          <w:lang w:val="en-US"/>
        </w:rPr>
        <w:t xml:space="preserve">by the company </w:t>
      </w:r>
      <w:r w:rsidR="00845016">
        <w:rPr>
          <w:lang w:val="en-US"/>
        </w:rPr>
        <w:t>with</w:t>
      </w:r>
      <w:r w:rsidR="00B20EA2">
        <w:rPr>
          <w:lang w:val="en-US"/>
        </w:rPr>
        <w:t xml:space="preserve"> soft currency points, which can be transformed into material reward items</w:t>
      </w:r>
      <w:r w:rsidR="00D03DD4">
        <w:rPr>
          <w:lang w:val="en-US"/>
        </w:rPr>
        <w:t>.</w:t>
      </w:r>
      <w:r w:rsidR="00B20EA2">
        <w:rPr>
          <w:lang w:val="en-US"/>
        </w:rPr>
        <w:t xml:space="preserve"> The participants filled out the survey remotely by using digital devices (computer, tablet, smartphone).</w:t>
      </w:r>
      <w:r w:rsidR="00D03DD4">
        <w:rPr>
          <w:lang w:val="en-US"/>
        </w:rPr>
        <w:t xml:space="preserve"> </w:t>
      </w:r>
      <w:r>
        <w:rPr>
          <w:lang w:val="en-US"/>
        </w:rPr>
        <w:t>The respondents were Finnish adults, and the pilot sample was nationally representative of the working population of Finland by age (</w:t>
      </w:r>
      <w:r>
        <w:rPr>
          <w:i/>
          <w:lang w:val="en-US"/>
        </w:rPr>
        <w:t>M</w:t>
      </w:r>
      <w:r>
        <w:rPr>
          <w:lang w:val="en-US"/>
        </w:rPr>
        <w:t xml:space="preserve">=41.6, </w:t>
      </w:r>
      <w:r>
        <w:rPr>
          <w:i/>
          <w:lang w:val="en-US"/>
        </w:rPr>
        <w:t>SD</w:t>
      </w:r>
      <w:r>
        <w:rPr>
          <w:lang w:val="en-US"/>
        </w:rPr>
        <w:t xml:space="preserve">=12.2), region (equal distribution between four Finnish regions) and gender (men </w:t>
      </w:r>
      <w:r>
        <w:rPr>
          <w:i/>
          <w:lang w:val="en-US"/>
        </w:rPr>
        <w:t>n</w:t>
      </w:r>
      <w:r>
        <w:rPr>
          <w:lang w:val="en-US"/>
        </w:rPr>
        <w:t xml:space="preserve">=521). The respondents filled in the previously described four screening instruments (also others, see later). The Finnish translations of the first two instruments have been found reliable (GAS7: Männikkö et al. 2015; IGDT10: Männikkö et al. 2019), and the </w:t>
      </w:r>
      <w:r w:rsidR="00595783">
        <w:rPr>
          <w:lang w:val="en-US"/>
        </w:rPr>
        <w:t>S</w:t>
      </w:r>
      <w:r>
        <w:rPr>
          <w:lang w:val="en-US"/>
        </w:rPr>
        <w:t xml:space="preserve">elf-assessed </w:t>
      </w:r>
      <w:r w:rsidR="00845016">
        <w:rPr>
          <w:lang w:val="en-US"/>
        </w:rPr>
        <w:t xml:space="preserve">GRHP </w:t>
      </w:r>
      <w:r>
        <w:rPr>
          <w:lang w:val="en-US"/>
        </w:rPr>
        <w:t>instrument (THL1) was originally developed in Finnish language by the ministry operated Finnish Institute for Health and Welfare. Because GDT is a new instrument and does not have validation studies of its translated versions yet, we (back) translated it with the help of an English</w:t>
      </w:r>
      <w:r w:rsidR="00B20EA2">
        <w:rPr>
          <w:lang w:val="en-US"/>
        </w:rPr>
        <w:t>-Finnish</w:t>
      </w:r>
      <w:r>
        <w:rPr>
          <w:lang w:val="en-US"/>
        </w:rPr>
        <w:t xml:space="preserve"> linguist and carried out convergent validation tests for the translated version (Supplement). The translated GDT had composite reliability (CR) of 0.90 and average variance extracted (AVE) value of 0.69, both of which exceeded their required levels (CR&gt;0.70, AVE &gt;0.50). Hence, the tests supported convergent validity for the translated GDT (see </w:t>
      </w:r>
      <w:proofErr w:type="spellStart"/>
      <w:r>
        <w:rPr>
          <w:lang w:val="en-US"/>
        </w:rPr>
        <w:t>Fornell</w:t>
      </w:r>
      <w:proofErr w:type="spellEnd"/>
      <w:r>
        <w:rPr>
          <w:lang w:val="en-US"/>
        </w:rPr>
        <w:t xml:space="preserve"> and </w:t>
      </w:r>
      <w:proofErr w:type="spellStart"/>
      <w:r>
        <w:rPr>
          <w:lang w:val="en-US"/>
        </w:rPr>
        <w:t>Larcker</w:t>
      </w:r>
      <w:proofErr w:type="spellEnd"/>
      <w:r>
        <w:rPr>
          <w:lang w:val="en-US"/>
        </w:rPr>
        <w:t xml:space="preserve">, 1981). </w:t>
      </w:r>
    </w:p>
    <w:p w14:paraId="6C3BA637" w14:textId="3DF64240" w:rsidR="00CE6598" w:rsidRDefault="001B6A74" w:rsidP="001B6A74">
      <w:pPr>
        <w:ind w:firstLine="720"/>
        <w:jc w:val="both"/>
        <w:rPr>
          <w:lang w:val="en-US"/>
        </w:rPr>
      </w:pPr>
      <w:r>
        <w:rPr>
          <w:lang w:val="en-US"/>
        </w:rPr>
        <w:t>For GDT, which is a 4-item instrument with a five-point scale (“Never”</w:t>
      </w:r>
      <w:r w:rsidR="002467C8">
        <w:rPr>
          <w:lang w:val="en-US"/>
        </w:rPr>
        <w:t>,</w:t>
      </w:r>
      <w:r>
        <w:rPr>
          <w:lang w:val="en-US"/>
        </w:rPr>
        <w:t xml:space="preserve"> “Rarely”</w:t>
      </w:r>
      <w:r w:rsidR="002467C8">
        <w:rPr>
          <w:lang w:val="en-US"/>
        </w:rPr>
        <w:t>,</w:t>
      </w:r>
      <w:r>
        <w:rPr>
          <w:lang w:val="en-US"/>
        </w:rPr>
        <w:t xml:space="preserve"> “Sometimes”</w:t>
      </w:r>
      <w:r w:rsidR="002467C8">
        <w:rPr>
          <w:lang w:val="en-US"/>
        </w:rPr>
        <w:t>,</w:t>
      </w:r>
      <w:r>
        <w:rPr>
          <w:lang w:val="en-US"/>
        </w:rPr>
        <w:t xml:space="preserve"> “Often”</w:t>
      </w:r>
      <w:r w:rsidR="002467C8">
        <w:rPr>
          <w:lang w:val="en-US"/>
        </w:rPr>
        <w:t>,</w:t>
      </w:r>
      <w:r>
        <w:rPr>
          <w:lang w:val="en-US"/>
        </w:rPr>
        <w:t xml:space="preserve"> “Very Often”), we use a monothetic cutoff to identify those who answer “Often” or “Very Often” to all items (cutoff=4/4 according to ICD ontology). For IGDT10, which is a 10-item instrument with a three-point scale (“Never”</w:t>
      </w:r>
      <w:r w:rsidR="002467C8">
        <w:rPr>
          <w:lang w:val="en-US"/>
        </w:rPr>
        <w:t>,</w:t>
      </w:r>
      <w:r>
        <w:rPr>
          <w:lang w:val="en-US"/>
        </w:rPr>
        <w:t xml:space="preserve"> “Sometimes”</w:t>
      </w:r>
      <w:r w:rsidR="002467C8">
        <w:rPr>
          <w:lang w:val="en-US"/>
        </w:rPr>
        <w:t>,</w:t>
      </w:r>
      <w:r>
        <w:rPr>
          <w:lang w:val="en-US"/>
        </w:rPr>
        <w:t xml:space="preserve"> “Often”), we use a polythetic cutoff to identify those who answer “Often” to at least five items (the last two items are combined to give one point, cutoff=5/9 according to DSM ontology). For GAS7, which is a 7-item instrument with a five-point scale (“Never”</w:t>
      </w:r>
      <w:r w:rsidR="002467C8">
        <w:rPr>
          <w:lang w:val="en-US"/>
        </w:rPr>
        <w:t>,</w:t>
      </w:r>
      <w:r>
        <w:rPr>
          <w:lang w:val="en-US"/>
        </w:rPr>
        <w:t xml:space="preserve"> “Rarely”</w:t>
      </w:r>
      <w:r w:rsidR="002467C8">
        <w:rPr>
          <w:lang w:val="en-US"/>
        </w:rPr>
        <w:t>,</w:t>
      </w:r>
      <w:r>
        <w:rPr>
          <w:lang w:val="en-US"/>
        </w:rPr>
        <w:t xml:space="preserve"> Sometimes”</w:t>
      </w:r>
      <w:r w:rsidR="002467C8">
        <w:rPr>
          <w:lang w:val="en-US"/>
        </w:rPr>
        <w:t>,</w:t>
      </w:r>
      <w:r>
        <w:rPr>
          <w:lang w:val="en-US"/>
        </w:rPr>
        <w:t xml:space="preserve"> “Often”</w:t>
      </w:r>
      <w:r w:rsidR="002467C8">
        <w:rPr>
          <w:lang w:val="en-US"/>
        </w:rPr>
        <w:t>,</w:t>
      </w:r>
      <w:r>
        <w:rPr>
          <w:lang w:val="en-US"/>
        </w:rPr>
        <w:t xml:space="preserve"> “Very Often”), we use a polythetic cutoff to identify those who answer “Sometimes” to at least four items (cutoff=4/7 according to DSM ontology). For THL1, which is a 1-item instrument with a four-point scale (from “Never”</w:t>
      </w:r>
      <w:r w:rsidR="002467C8">
        <w:rPr>
          <w:lang w:val="en-US"/>
        </w:rPr>
        <w:t>,</w:t>
      </w:r>
      <w:r>
        <w:rPr>
          <w:lang w:val="en-US"/>
        </w:rPr>
        <w:t xml:space="preserve"> Sometimes”</w:t>
      </w:r>
      <w:r w:rsidR="002467C8">
        <w:rPr>
          <w:lang w:val="en-US"/>
        </w:rPr>
        <w:t>,</w:t>
      </w:r>
      <w:r>
        <w:rPr>
          <w:lang w:val="en-US"/>
        </w:rPr>
        <w:t xml:space="preserve"> Often”</w:t>
      </w:r>
      <w:r w:rsidR="002467C8">
        <w:rPr>
          <w:lang w:val="en-US"/>
        </w:rPr>
        <w:t>,</w:t>
      </w:r>
      <w:r>
        <w:rPr>
          <w:lang w:val="en-US"/>
        </w:rPr>
        <w:t xml:space="preserve"> “Almost Always”), we report both </w:t>
      </w:r>
      <w:r>
        <w:rPr>
          <w:lang w:val="en-US"/>
        </w:rPr>
        <w:lastRenderedPageBreak/>
        <w:t xml:space="preserve">previously applied (Karhulahti &amp; Koskimaa 2019; Salonen &amp; Raisamo 2015) cutoffs to identify those who self-assess problems at least “Sometimes” and “Often” (cutoff=1/1). </w:t>
      </w:r>
      <w:r w:rsidR="00836E32">
        <w:rPr>
          <w:lang w:val="en-US"/>
        </w:rPr>
        <w:t xml:space="preserve">The prevalence rates of </w:t>
      </w:r>
      <w:r w:rsidR="00B81F15">
        <w:rPr>
          <w:lang w:val="en-US"/>
        </w:rPr>
        <w:t>GRHPs</w:t>
      </w:r>
      <w:r w:rsidR="00836E32">
        <w:rPr>
          <w:lang w:val="en-US"/>
        </w:rPr>
        <w:t xml:space="preserve"> according to each instrument are presented in Table 1.</w:t>
      </w:r>
    </w:p>
    <w:p w14:paraId="4764848A" w14:textId="77777777" w:rsidR="00CE6598" w:rsidRDefault="00836E32">
      <w:pPr>
        <w:jc w:val="both"/>
        <w:rPr>
          <w:lang w:val="en-US"/>
        </w:rPr>
      </w:pPr>
      <w:r>
        <w:rPr>
          <w:lang w:val="en-US"/>
        </w:rPr>
        <w:t xml:space="preserve"> </w:t>
      </w:r>
    </w:p>
    <w:tbl>
      <w:tblPr>
        <w:tblW w:w="8895" w:type="dxa"/>
        <w:tblLayout w:type="fixed"/>
        <w:tblCellMar>
          <w:top w:w="100" w:type="dxa"/>
          <w:left w:w="100" w:type="dxa"/>
          <w:bottom w:w="100" w:type="dxa"/>
          <w:right w:w="100" w:type="dxa"/>
        </w:tblCellMar>
        <w:tblLook w:val="0000" w:firstRow="0" w:lastRow="0" w:firstColumn="0" w:lastColumn="0" w:noHBand="0" w:noVBand="0"/>
      </w:tblPr>
      <w:tblGrid>
        <w:gridCol w:w="1665"/>
        <w:gridCol w:w="1844"/>
        <w:gridCol w:w="1755"/>
        <w:gridCol w:w="1843"/>
        <w:gridCol w:w="1788"/>
      </w:tblGrid>
      <w:tr w:rsidR="00CE6598" w14:paraId="2C811D15" w14:textId="77777777">
        <w:trPr>
          <w:trHeight w:val="291"/>
        </w:trPr>
        <w:tc>
          <w:tcPr>
            <w:tcW w:w="1665" w:type="dxa"/>
            <w:tcBorders>
              <w:top w:val="single" w:sz="8" w:space="0" w:color="000000"/>
              <w:left w:val="single" w:sz="8" w:space="0" w:color="000000"/>
              <w:bottom w:val="single" w:sz="8" w:space="0" w:color="000000"/>
              <w:right w:val="single" w:sz="8" w:space="0" w:color="000000"/>
            </w:tcBorders>
          </w:tcPr>
          <w:p w14:paraId="763D8602" w14:textId="77777777" w:rsidR="00CE6598" w:rsidRDefault="00836E32">
            <w:pPr>
              <w:widowControl w:val="0"/>
              <w:jc w:val="both"/>
              <w:rPr>
                <w:b/>
                <w:sz w:val="16"/>
                <w:szCs w:val="16"/>
                <w:lang w:val="en-US"/>
              </w:rPr>
            </w:pPr>
            <w:r>
              <w:rPr>
                <w:b/>
                <w:sz w:val="16"/>
                <w:szCs w:val="16"/>
                <w:lang w:val="en-US"/>
              </w:rPr>
              <w:t>ONTOLOGICAL BASIS</w:t>
            </w:r>
          </w:p>
        </w:tc>
        <w:tc>
          <w:tcPr>
            <w:tcW w:w="1844" w:type="dxa"/>
            <w:tcBorders>
              <w:top w:val="single" w:sz="8" w:space="0" w:color="000000"/>
              <w:left w:val="single" w:sz="6" w:space="0" w:color="000000"/>
              <w:bottom w:val="single" w:sz="8" w:space="0" w:color="000000"/>
              <w:right w:val="single" w:sz="8" w:space="0" w:color="000000"/>
            </w:tcBorders>
          </w:tcPr>
          <w:p w14:paraId="314AFFCD" w14:textId="77777777" w:rsidR="00CE6598" w:rsidRDefault="00836E32">
            <w:pPr>
              <w:widowControl w:val="0"/>
              <w:jc w:val="both"/>
              <w:rPr>
                <w:b/>
                <w:sz w:val="16"/>
                <w:szCs w:val="16"/>
                <w:lang w:val="en-US"/>
              </w:rPr>
            </w:pPr>
            <w:r>
              <w:rPr>
                <w:b/>
                <w:sz w:val="16"/>
                <w:szCs w:val="16"/>
                <w:lang w:val="en-US"/>
              </w:rPr>
              <w:t>ICD-11</w:t>
            </w:r>
          </w:p>
          <w:p w14:paraId="254425BB" w14:textId="77777777" w:rsidR="00CE6598" w:rsidRDefault="00836E32">
            <w:pPr>
              <w:widowControl w:val="0"/>
              <w:jc w:val="both"/>
              <w:rPr>
                <w:sz w:val="16"/>
                <w:szCs w:val="16"/>
                <w:lang w:val="en-US"/>
              </w:rPr>
            </w:pPr>
            <w:r>
              <w:rPr>
                <w:sz w:val="16"/>
                <w:szCs w:val="16"/>
                <w:lang w:val="en-US"/>
              </w:rPr>
              <w:t>gaming disorder</w:t>
            </w:r>
          </w:p>
        </w:tc>
        <w:tc>
          <w:tcPr>
            <w:tcW w:w="1755" w:type="dxa"/>
            <w:tcBorders>
              <w:top w:val="single" w:sz="8" w:space="0" w:color="000000"/>
              <w:left w:val="single" w:sz="6" w:space="0" w:color="000000"/>
              <w:bottom w:val="single" w:sz="8" w:space="0" w:color="000000"/>
              <w:right w:val="single" w:sz="8" w:space="0" w:color="000000"/>
            </w:tcBorders>
          </w:tcPr>
          <w:p w14:paraId="42682AA2" w14:textId="77777777" w:rsidR="00CE6598" w:rsidRDefault="00836E32">
            <w:pPr>
              <w:widowControl w:val="0"/>
              <w:jc w:val="both"/>
              <w:rPr>
                <w:b/>
                <w:sz w:val="16"/>
                <w:szCs w:val="16"/>
                <w:lang w:val="en-US"/>
              </w:rPr>
            </w:pPr>
            <w:r>
              <w:rPr>
                <w:b/>
                <w:sz w:val="16"/>
                <w:szCs w:val="16"/>
                <w:lang w:val="en-US"/>
              </w:rPr>
              <w:t>DSM-5</w:t>
            </w:r>
          </w:p>
          <w:p w14:paraId="31386F6E" w14:textId="77777777" w:rsidR="00CE6598" w:rsidRDefault="00836E32">
            <w:pPr>
              <w:widowControl w:val="0"/>
              <w:jc w:val="both"/>
              <w:rPr>
                <w:sz w:val="16"/>
                <w:szCs w:val="16"/>
                <w:lang w:val="en-US"/>
              </w:rPr>
            </w:pPr>
            <w:r>
              <w:rPr>
                <w:sz w:val="16"/>
                <w:szCs w:val="16"/>
                <w:lang w:val="en-US"/>
              </w:rPr>
              <w:t>internet gaming disorder</w:t>
            </w:r>
          </w:p>
        </w:tc>
        <w:tc>
          <w:tcPr>
            <w:tcW w:w="1843" w:type="dxa"/>
            <w:tcBorders>
              <w:top w:val="single" w:sz="8" w:space="0" w:color="000000"/>
              <w:left w:val="single" w:sz="6" w:space="0" w:color="000000"/>
              <w:bottom w:val="single" w:sz="8" w:space="0" w:color="000000"/>
              <w:right w:val="single" w:sz="8" w:space="0" w:color="000000"/>
            </w:tcBorders>
          </w:tcPr>
          <w:p w14:paraId="5D179BFC" w14:textId="77777777" w:rsidR="00CE6598" w:rsidRDefault="00836E32">
            <w:pPr>
              <w:widowControl w:val="0"/>
              <w:jc w:val="both"/>
              <w:rPr>
                <w:b/>
                <w:sz w:val="16"/>
                <w:szCs w:val="16"/>
                <w:lang w:val="en-US"/>
              </w:rPr>
            </w:pPr>
            <w:r>
              <w:rPr>
                <w:b/>
                <w:sz w:val="16"/>
                <w:szCs w:val="16"/>
                <w:lang w:val="en-US"/>
              </w:rPr>
              <w:t>DSM-IV</w:t>
            </w:r>
          </w:p>
          <w:p w14:paraId="6DC80842" w14:textId="77777777" w:rsidR="00CE6598" w:rsidRDefault="00836E32">
            <w:pPr>
              <w:widowControl w:val="0"/>
              <w:jc w:val="both"/>
              <w:rPr>
                <w:sz w:val="16"/>
                <w:szCs w:val="16"/>
                <w:lang w:val="en-US"/>
              </w:rPr>
            </w:pPr>
            <w:r>
              <w:rPr>
                <w:sz w:val="16"/>
                <w:szCs w:val="16"/>
                <w:lang w:val="en-US"/>
              </w:rPr>
              <w:t xml:space="preserve">pathological gambling </w:t>
            </w:r>
          </w:p>
        </w:tc>
        <w:tc>
          <w:tcPr>
            <w:tcW w:w="1788" w:type="dxa"/>
            <w:tcBorders>
              <w:top w:val="single" w:sz="8" w:space="0" w:color="000000"/>
              <w:left w:val="single" w:sz="6" w:space="0" w:color="000000"/>
              <w:bottom w:val="single" w:sz="8" w:space="0" w:color="000000"/>
              <w:right w:val="single" w:sz="8" w:space="0" w:color="000000"/>
            </w:tcBorders>
          </w:tcPr>
          <w:p w14:paraId="2DF1B387" w14:textId="77777777" w:rsidR="00CE6598" w:rsidRDefault="00836E32">
            <w:pPr>
              <w:widowControl w:val="0"/>
              <w:jc w:val="both"/>
              <w:rPr>
                <w:b/>
                <w:sz w:val="16"/>
                <w:szCs w:val="16"/>
                <w:lang w:val="en-US"/>
              </w:rPr>
            </w:pPr>
            <w:r>
              <w:rPr>
                <w:b/>
                <w:sz w:val="16"/>
                <w:szCs w:val="16"/>
                <w:lang w:val="en-US"/>
              </w:rPr>
              <w:t>Self-assessed</w:t>
            </w:r>
          </w:p>
        </w:tc>
      </w:tr>
      <w:tr w:rsidR="00CE6598" w14:paraId="3418B411" w14:textId="77777777">
        <w:trPr>
          <w:trHeight w:val="25"/>
        </w:trPr>
        <w:tc>
          <w:tcPr>
            <w:tcW w:w="1665" w:type="dxa"/>
            <w:tcBorders>
              <w:top w:val="single" w:sz="6" w:space="0" w:color="000000"/>
              <w:left w:val="single" w:sz="8" w:space="0" w:color="000000"/>
              <w:bottom w:val="single" w:sz="8" w:space="0" w:color="000000"/>
              <w:right w:val="single" w:sz="8" w:space="0" w:color="000000"/>
            </w:tcBorders>
          </w:tcPr>
          <w:p w14:paraId="70457CB4" w14:textId="77777777" w:rsidR="00CE6598" w:rsidRDefault="00836E32">
            <w:pPr>
              <w:widowControl w:val="0"/>
              <w:jc w:val="both"/>
              <w:rPr>
                <w:b/>
                <w:sz w:val="18"/>
                <w:szCs w:val="18"/>
                <w:lang w:val="en-US"/>
              </w:rPr>
            </w:pPr>
            <w:r>
              <w:rPr>
                <w:b/>
                <w:sz w:val="18"/>
                <w:szCs w:val="18"/>
                <w:lang w:val="en-US"/>
              </w:rPr>
              <w:t>instrument</w:t>
            </w:r>
          </w:p>
        </w:tc>
        <w:tc>
          <w:tcPr>
            <w:tcW w:w="1844" w:type="dxa"/>
            <w:tcBorders>
              <w:top w:val="single" w:sz="6" w:space="0" w:color="000000"/>
              <w:left w:val="single" w:sz="6" w:space="0" w:color="000000"/>
              <w:bottom w:val="single" w:sz="8" w:space="0" w:color="000000"/>
              <w:right w:val="single" w:sz="8" w:space="0" w:color="000000"/>
            </w:tcBorders>
          </w:tcPr>
          <w:p w14:paraId="34CDE992" w14:textId="77777777" w:rsidR="00CE6598" w:rsidRDefault="00836E32">
            <w:pPr>
              <w:widowControl w:val="0"/>
              <w:jc w:val="both"/>
              <w:rPr>
                <w:sz w:val="18"/>
                <w:szCs w:val="18"/>
                <w:lang w:val="en-US"/>
              </w:rPr>
            </w:pPr>
            <w:r>
              <w:rPr>
                <w:sz w:val="18"/>
                <w:szCs w:val="18"/>
                <w:lang w:val="en-US"/>
              </w:rPr>
              <w:t>GDT</w:t>
            </w:r>
          </w:p>
        </w:tc>
        <w:tc>
          <w:tcPr>
            <w:tcW w:w="1755" w:type="dxa"/>
            <w:tcBorders>
              <w:top w:val="single" w:sz="6" w:space="0" w:color="000000"/>
              <w:left w:val="single" w:sz="6" w:space="0" w:color="000000"/>
              <w:bottom w:val="single" w:sz="8" w:space="0" w:color="000000"/>
              <w:right w:val="single" w:sz="8" w:space="0" w:color="000000"/>
            </w:tcBorders>
          </w:tcPr>
          <w:p w14:paraId="5A865A55" w14:textId="77777777" w:rsidR="00CE6598" w:rsidRDefault="00836E32">
            <w:pPr>
              <w:widowControl w:val="0"/>
              <w:jc w:val="both"/>
              <w:rPr>
                <w:sz w:val="18"/>
                <w:szCs w:val="18"/>
                <w:lang w:val="en-US"/>
              </w:rPr>
            </w:pPr>
            <w:r>
              <w:rPr>
                <w:sz w:val="18"/>
                <w:szCs w:val="18"/>
                <w:lang w:val="en-US"/>
              </w:rPr>
              <w:t>IGDT10</w:t>
            </w:r>
          </w:p>
        </w:tc>
        <w:tc>
          <w:tcPr>
            <w:tcW w:w="1843" w:type="dxa"/>
            <w:tcBorders>
              <w:top w:val="single" w:sz="6" w:space="0" w:color="000000"/>
              <w:left w:val="single" w:sz="6" w:space="0" w:color="000000"/>
              <w:bottom w:val="single" w:sz="8" w:space="0" w:color="000000"/>
              <w:right w:val="single" w:sz="8" w:space="0" w:color="000000"/>
            </w:tcBorders>
          </w:tcPr>
          <w:p w14:paraId="6F4455FA" w14:textId="77777777" w:rsidR="00CE6598" w:rsidRDefault="00836E32">
            <w:pPr>
              <w:widowControl w:val="0"/>
              <w:jc w:val="both"/>
              <w:rPr>
                <w:sz w:val="18"/>
                <w:szCs w:val="18"/>
                <w:lang w:val="en-US"/>
              </w:rPr>
            </w:pPr>
            <w:r>
              <w:rPr>
                <w:sz w:val="18"/>
                <w:szCs w:val="18"/>
                <w:lang w:val="en-US"/>
              </w:rPr>
              <w:t>GAS7</w:t>
            </w:r>
          </w:p>
        </w:tc>
        <w:tc>
          <w:tcPr>
            <w:tcW w:w="1788" w:type="dxa"/>
            <w:tcBorders>
              <w:top w:val="single" w:sz="6" w:space="0" w:color="000000"/>
              <w:left w:val="single" w:sz="6" w:space="0" w:color="000000"/>
              <w:bottom w:val="single" w:sz="8" w:space="0" w:color="000000"/>
              <w:right w:val="single" w:sz="8" w:space="0" w:color="000000"/>
            </w:tcBorders>
          </w:tcPr>
          <w:p w14:paraId="2BA355A0" w14:textId="77777777" w:rsidR="00CE6598" w:rsidRDefault="00836E32">
            <w:pPr>
              <w:widowControl w:val="0"/>
              <w:jc w:val="both"/>
              <w:rPr>
                <w:sz w:val="18"/>
                <w:szCs w:val="18"/>
                <w:lang w:val="en-US"/>
              </w:rPr>
            </w:pPr>
            <w:r>
              <w:rPr>
                <w:sz w:val="18"/>
                <w:szCs w:val="18"/>
                <w:lang w:val="en-US"/>
              </w:rPr>
              <w:t>THL1</w:t>
            </w:r>
          </w:p>
        </w:tc>
      </w:tr>
      <w:tr w:rsidR="00CE6598" w14:paraId="5BCBCD12" w14:textId="77777777">
        <w:trPr>
          <w:trHeight w:val="320"/>
        </w:trPr>
        <w:tc>
          <w:tcPr>
            <w:tcW w:w="1665" w:type="dxa"/>
            <w:tcBorders>
              <w:top w:val="single" w:sz="6" w:space="0" w:color="000000"/>
              <w:left w:val="single" w:sz="8" w:space="0" w:color="000000"/>
              <w:bottom w:val="single" w:sz="8" w:space="0" w:color="000000"/>
              <w:right w:val="single" w:sz="8" w:space="0" w:color="000000"/>
            </w:tcBorders>
          </w:tcPr>
          <w:p w14:paraId="32C0BAF5" w14:textId="77777777" w:rsidR="00CE6598" w:rsidRDefault="00836E32">
            <w:pPr>
              <w:widowControl w:val="0"/>
              <w:jc w:val="both"/>
              <w:rPr>
                <w:b/>
                <w:sz w:val="18"/>
                <w:szCs w:val="18"/>
                <w:lang w:val="en-US"/>
              </w:rPr>
            </w:pPr>
            <w:r>
              <w:rPr>
                <w:b/>
                <w:sz w:val="18"/>
                <w:szCs w:val="18"/>
                <w:lang w:val="en-US"/>
              </w:rPr>
              <w:t>prevalence</w:t>
            </w:r>
          </w:p>
        </w:tc>
        <w:tc>
          <w:tcPr>
            <w:tcW w:w="1844" w:type="dxa"/>
            <w:tcBorders>
              <w:top w:val="single" w:sz="6" w:space="0" w:color="000000"/>
              <w:left w:val="single" w:sz="6" w:space="0" w:color="000000"/>
              <w:bottom w:val="single" w:sz="8" w:space="0" w:color="000000"/>
              <w:right w:val="single" w:sz="8" w:space="0" w:color="000000"/>
            </w:tcBorders>
          </w:tcPr>
          <w:p w14:paraId="26D1071F" w14:textId="77777777" w:rsidR="00CE6598" w:rsidRDefault="00836E32">
            <w:pPr>
              <w:widowControl w:val="0"/>
              <w:jc w:val="both"/>
              <w:rPr>
                <w:sz w:val="18"/>
                <w:szCs w:val="18"/>
                <w:lang w:val="en-US"/>
              </w:rPr>
            </w:pPr>
            <w:r>
              <w:rPr>
                <w:b/>
                <w:sz w:val="18"/>
                <w:szCs w:val="18"/>
                <w:lang w:val="en-US"/>
              </w:rPr>
              <w:t>0.2 %</w:t>
            </w:r>
            <w:r>
              <w:rPr>
                <w:sz w:val="18"/>
                <w:szCs w:val="18"/>
                <w:lang w:val="en-US"/>
              </w:rPr>
              <w:t xml:space="preserve">, </w:t>
            </w:r>
            <w:r>
              <w:rPr>
                <w:i/>
                <w:sz w:val="18"/>
                <w:szCs w:val="18"/>
                <w:lang w:val="en-US"/>
              </w:rPr>
              <w:t>n</w:t>
            </w:r>
            <w:r>
              <w:rPr>
                <w:sz w:val="18"/>
                <w:szCs w:val="18"/>
                <w:lang w:val="en-US"/>
              </w:rPr>
              <w:t>=2</w:t>
            </w:r>
          </w:p>
          <w:p w14:paraId="3C0AF9FE" w14:textId="41267231" w:rsidR="00CE6598" w:rsidRDefault="00836E32">
            <w:pPr>
              <w:widowControl w:val="0"/>
              <w:jc w:val="both"/>
              <w:rPr>
                <w:sz w:val="18"/>
                <w:szCs w:val="18"/>
                <w:lang w:val="en-US"/>
              </w:rPr>
            </w:pPr>
            <w:r>
              <w:rPr>
                <w:sz w:val="18"/>
                <w:szCs w:val="18"/>
                <w:lang w:val="en-US"/>
              </w:rPr>
              <w:t>95% CI (0.05–0.79)</w:t>
            </w:r>
          </w:p>
        </w:tc>
        <w:tc>
          <w:tcPr>
            <w:tcW w:w="1755" w:type="dxa"/>
            <w:tcBorders>
              <w:top w:val="single" w:sz="6" w:space="0" w:color="000000"/>
              <w:left w:val="single" w:sz="6" w:space="0" w:color="000000"/>
              <w:bottom w:val="single" w:sz="8" w:space="0" w:color="000000"/>
              <w:right w:val="single" w:sz="8" w:space="0" w:color="000000"/>
            </w:tcBorders>
          </w:tcPr>
          <w:p w14:paraId="0C2554ED" w14:textId="77777777" w:rsidR="00CE6598" w:rsidRDefault="00836E32">
            <w:pPr>
              <w:widowControl w:val="0"/>
              <w:jc w:val="both"/>
              <w:rPr>
                <w:sz w:val="18"/>
                <w:szCs w:val="18"/>
                <w:lang w:val="en-US"/>
              </w:rPr>
            </w:pPr>
            <w:r>
              <w:rPr>
                <w:b/>
                <w:sz w:val="18"/>
                <w:szCs w:val="18"/>
                <w:lang w:val="en-US"/>
              </w:rPr>
              <w:t>0.6 %</w:t>
            </w:r>
            <w:r>
              <w:rPr>
                <w:sz w:val="18"/>
                <w:szCs w:val="18"/>
                <w:lang w:val="en-US"/>
              </w:rPr>
              <w:t xml:space="preserve">, </w:t>
            </w:r>
            <w:r>
              <w:rPr>
                <w:i/>
                <w:sz w:val="18"/>
                <w:szCs w:val="18"/>
                <w:lang w:val="en-US"/>
              </w:rPr>
              <w:t>n</w:t>
            </w:r>
            <w:r>
              <w:rPr>
                <w:sz w:val="18"/>
                <w:szCs w:val="18"/>
                <w:lang w:val="en-US"/>
              </w:rPr>
              <w:t>=6</w:t>
            </w:r>
          </w:p>
          <w:p w14:paraId="0F37BECC" w14:textId="77777777" w:rsidR="00CE6598" w:rsidRDefault="00836E32">
            <w:pPr>
              <w:widowControl w:val="0"/>
              <w:jc w:val="both"/>
              <w:rPr>
                <w:sz w:val="18"/>
                <w:szCs w:val="18"/>
                <w:lang w:val="en-US"/>
              </w:rPr>
            </w:pPr>
            <w:r>
              <w:rPr>
                <w:sz w:val="18"/>
                <w:szCs w:val="18"/>
                <w:lang w:val="en-US"/>
              </w:rPr>
              <w:t>95% CI (0.24–1.33)</w:t>
            </w:r>
          </w:p>
        </w:tc>
        <w:tc>
          <w:tcPr>
            <w:tcW w:w="1843" w:type="dxa"/>
            <w:tcBorders>
              <w:top w:val="single" w:sz="6" w:space="0" w:color="000000"/>
              <w:left w:val="single" w:sz="6" w:space="0" w:color="000000"/>
              <w:bottom w:val="single" w:sz="8" w:space="0" w:color="000000"/>
              <w:right w:val="single" w:sz="8" w:space="0" w:color="000000"/>
            </w:tcBorders>
          </w:tcPr>
          <w:p w14:paraId="689F6283" w14:textId="77777777" w:rsidR="00CE6598" w:rsidRDefault="00836E32">
            <w:pPr>
              <w:widowControl w:val="0"/>
              <w:jc w:val="both"/>
              <w:rPr>
                <w:sz w:val="18"/>
                <w:szCs w:val="18"/>
                <w:lang w:val="en-US"/>
              </w:rPr>
            </w:pPr>
            <w:r>
              <w:rPr>
                <w:b/>
                <w:sz w:val="18"/>
                <w:szCs w:val="18"/>
                <w:lang w:val="en-US"/>
              </w:rPr>
              <w:t>8.9 %</w:t>
            </w:r>
            <w:r>
              <w:rPr>
                <w:sz w:val="18"/>
                <w:szCs w:val="18"/>
                <w:lang w:val="en-US"/>
              </w:rPr>
              <w:t xml:space="preserve">, </w:t>
            </w:r>
            <w:r>
              <w:rPr>
                <w:i/>
                <w:sz w:val="18"/>
                <w:szCs w:val="18"/>
                <w:lang w:val="en-US"/>
              </w:rPr>
              <w:t>n</w:t>
            </w:r>
            <w:r>
              <w:rPr>
                <w:sz w:val="18"/>
                <w:szCs w:val="18"/>
                <w:lang w:val="en-US"/>
              </w:rPr>
              <w:t>=89</w:t>
            </w:r>
          </w:p>
          <w:p w14:paraId="45932397" w14:textId="77777777" w:rsidR="00CE6598" w:rsidRDefault="00836E32">
            <w:pPr>
              <w:widowControl w:val="0"/>
              <w:jc w:val="both"/>
              <w:rPr>
                <w:sz w:val="18"/>
                <w:szCs w:val="18"/>
                <w:lang w:val="en-US"/>
              </w:rPr>
            </w:pPr>
            <w:r>
              <w:rPr>
                <w:sz w:val="18"/>
                <w:szCs w:val="18"/>
                <w:lang w:val="en-US"/>
              </w:rPr>
              <w:t>95% CI (7.28–10.83)</w:t>
            </w:r>
          </w:p>
        </w:tc>
        <w:tc>
          <w:tcPr>
            <w:tcW w:w="1788" w:type="dxa"/>
            <w:tcBorders>
              <w:top w:val="single" w:sz="6" w:space="0" w:color="000000"/>
              <w:left w:val="single" w:sz="6" w:space="0" w:color="000000"/>
              <w:bottom w:val="single" w:sz="8" w:space="0" w:color="000000"/>
              <w:right w:val="single" w:sz="8" w:space="0" w:color="000000"/>
            </w:tcBorders>
          </w:tcPr>
          <w:p w14:paraId="38C93631" w14:textId="5CF306C9" w:rsidR="00CE6598" w:rsidRPr="00AF14E3" w:rsidRDefault="00836E32" w:rsidP="00AF14E3">
            <w:pPr>
              <w:pStyle w:val="ListParagraph"/>
              <w:widowControl w:val="0"/>
              <w:numPr>
                <w:ilvl w:val="1"/>
                <w:numId w:val="4"/>
              </w:numPr>
              <w:jc w:val="both"/>
              <w:rPr>
                <w:sz w:val="18"/>
                <w:szCs w:val="18"/>
                <w:lang w:val="en-US"/>
              </w:rPr>
            </w:pPr>
            <w:r w:rsidRPr="00AF14E3">
              <w:rPr>
                <w:b/>
                <w:sz w:val="18"/>
                <w:szCs w:val="18"/>
                <w:lang w:val="en-US"/>
              </w:rPr>
              <w:t>%</w:t>
            </w:r>
            <w:r w:rsidRPr="00AF14E3">
              <w:rPr>
                <w:sz w:val="18"/>
                <w:szCs w:val="18"/>
                <w:lang w:val="en-US"/>
              </w:rPr>
              <w:t xml:space="preserve">, </w:t>
            </w:r>
            <w:r w:rsidRPr="00AF14E3">
              <w:rPr>
                <w:i/>
                <w:sz w:val="18"/>
                <w:szCs w:val="18"/>
                <w:lang w:val="en-US"/>
              </w:rPr>
              <w:t>n</w:t>
            </w:r>
            <w:r w:rsidRPr="00AF14E3">
              <w:rPr>
                <w:sz w:val="18"/>
                <w:szCs w:val="18"/>
                <w:lang w:val="en-US"/>
              </w:rPr>
              <w:t>=24</w:t>
            </w:r>
          </w:p>
          <w:p w14:paraId="1A30C394" w14:textId="77777777" w:rsidR="00CE6598" w:rsidRDefault="00836E32">
            <w:pPr>
              <w:widowControl w:val="0"/>
              <w:jc w:val="both"/>
              <w:rPr>
                <w:sz w:val="18"/>
                <w:szCs w:val="18"/>
                <w:lang w:val="en-US"/>
              </w:rPr>
            </w:pPr>
            <w:r>
              <w:rPr>
                <w:sz w:val="18"/>
                <w:szCs w:val="18"/>
                <w:lang w:val="en-US"/>
              </w:rPr>
              <w:t>95% CI (1.61–3.56)</w:t>
            </w:r>
          </w:p>
        </w:tc>
      </w:tr>
    </w:tbl>
    <w:p w14:paraId="3487103E" w14:textId="3AEC1E60" w:rsidR="00CE6598" w:rsidRDefault="00836E32">
      <w:pPr>
        <w:jc w:val="both"/>
        <w:rPr>
          <w:lang w:val="en-US"/>
        </w:rPr>
      </w:pPr>
      <w:r>
        <w:rPr>
          <w:b/>
          <w:bCs/>
          <w:sz w:val="18"/>
          <w:szCs w:val="18"/>
          <w:lang w:val="en-US"/>
        </w:rPr>
        <w:t>Table 1</w:t>
      </w:r>
      <w:r>
        <w:rPr>
          <w:sz w:val="18"/>
          <w:szCs w:val="18"/>
          <w:lang w:val="en-US"/>
        </w:rPr>
        <w:t xml:space="preserve">. Prevalence rates in the pilot. These rates were calculated with Stata/SE 16.1. We did a verifying analysis with IBM SPSS Statistics 26, which was identical except for GAS7 having 91 participants in the group. After </w:t>
      </w:r>
      <w:r w:rsidR="006910EE">
        <w:rPr>
          <w:sz w:val="18"/>
          <w:szCs w:val="18"/>
          <w:lang w:val="en-US"/>
        </w:rPr>
        <w:t xml:space="preserve">additional </w:t>
      </w:r>
      <w:r>
        <w:rPr>
          <w:sz w:val="18"/>
          <w:szCs w:val="18"/>
          <w:lang w:val="en-US"/>
        </w:rPr>
        <w:t xml:space="preserve">calculations </w:t>
      </w:r>
      <w:r w:rsidR="006910EE">
        <w:rPr>
          <w:sz w:val="18"/>
          <w:szCs w:val="18"/>
          <w:lang w:val="en-US"/>
        </w:rPr>
        <w:t xml:space="preserve">with R </w:t>
      </w:r>
      <w:r>
        <w:rPr>
          <w:sz w:val="18"/>
          <w:szCs w:val="18"/>
          <w:lang w:val="en-US"/>
        </w:rPr>
        <w:t xml:space="preserve">that produced the </w:t>
      </w:r>
      <w:r w:rsidR="00B81F15">
        <w:rPr>
          <w:sz w:val="18"/>
          <w:szCs w:val="18"/>
          <w:lang w:val="en-US"/>
        </w:rPr>
        <w:t>original</w:t>
      </w:r>
      <w:r>
        <w:rPr>
          <w:sz w:val="18"/>
          <w:szCs w:val="18"/>
          <w:lang w:val="en-US"/>
        </w:rPr>
        <w:t xml:space="preserve"> results, we concluded this higher prevalence for GAS7 in the SPSS being associated with a </w:t>
      </w:r>
      <w:r w:rsidR="006910EE">
        <w:rPr>
          <w:sz w:val="18"/>
          <w:szCs w:val="18"/>
          <w:lang w:val="en-US"/>
        </w:rPr>
        <w:t xml:space="preserve">software </w:t>
      </w:r>
      <w:r>
        <w:rPr>
          <w:sz w:val="18"/>
          <w:szCs w:val="18"/>
          <w:lang w:val="en-US"/>
        </w:rPr>
        <w:t xml:space="preserve">flaw. Other analyses were also replicated with SPSS (no discrepancies). </w:t>
      </w:r>
      <w:r w:rsidR="00152BD1">
        <w:rPr>
          <w:sz w:val="18"/>
          <w:szCs w:val="18"/>
          <w:lang w:val="en-US"/>
        </w:rPr>
        <w:t xml:space="preserve">Note: the explorative THL1 is presented here by its higher cutoff (3/4), while the lower cutoff (2/4) had a prevalence of </w:t>
      </w:r>
      <w:r w:rsidR="00152BD1" w:rsidRPr="00152BD1">
        <w:rPr>
          <w:i/>
          <w:iCs/>
          <w:sz w:val="18"/>
          <w:szCs w:val="18"/>
          <w:lang w:val="en-US"/>
        </w:rPr>
        <w:t>n</w:t>
      </w:r>
      <w:r w:rsidR="00152BD1">
        <w:rPr>
          <w:sz w:val="18"/>
          <w:szCs w:val="18"/>
          <w:lang w:val="en-US"/>
        </w:rPr>
        <w:t xml:space="preserve">=138 (13.8; 95% CI </w:t>
      </w:r>
      <w:r w:rsidR="00B81F15">
        <w:rPr>
          <w:sz w:val="18"/>
          <w:szCs w:val="18"/>
          <w:lang w:val="en-US"/>
        </w:rPr>
        <w:t>[</w:t>
      </w:r>
      <w:r w:rsidR="00152BD1">
        <w:rPr>
          <w:sz w:val="18"/>
          <w:szCs w:val="18"/>
          <w:lang w:val="en-US"/>
        </w:rPr>
        <w:t>11.80–16.07</w:t>
      </w:r>
      <w:r w:rsidR="00B81F15">
        <w:rPr>
          <w:sz w:val="18"/>
          <w:szCs w:val="18"/>
          <w:lang w:val="en-US"/>
        </w:rPr>
        <w:t>]</w:t>
      </w:r>
      <w:r w:rsidR="00152BD1">
        <w:rPr>
          <w:sz w:val="18"/>
          <w:szCs w:val="18"/>
          <w:lang w:val="en-US"/>
        </w:rPr>
        <w:t>).</w:t>
      </w:r>
    </w:p>
    <w:p w14:paraId="3C86F929" w14:textId="77777777" w:rsidR="00CE6598" w:rsidRDefault="00CE6598">
      <w:pPr>
        <w:jc w:val="both"/>
        <w:rPr>
          <w:lang w:val="en-US"/>
        </w:rPr>
      </w:pPr>
    </w:p>
    <w:p w14:paraId="21115D2F" w14:textId="72583F6F" w:rsidR="00CE6598" w:rsidRDefault="00836E32">
      <w:pPr>
        <w:jc w:val="both"/>
        <w:rPr>
          <w:lang w:val="en-US"/>
        </w:rPr>
      </w:pPr>
      <w:r>
        <w:rPr>
          <w:lang w:val="en-US"/>
        </w:rPr>
        <w:t xml:space="preserve">Related to our H2, we analyzed the overlap between the above four groups. Even though almost all individuals who met the cutoff by GDT and IGDT10 also met the cutoff by GAS7, none of those who met the GDT cutoff met the IGDT10 cutoff. The overlap is presented in Figure A.    </w:t>
      </w:r>
    </w:p>
    <w:p w14:paraId="32308BE6" w14:textId="77777777" w:rsidR="00CE6598" w:rsidRDefault="00CE6598">
      <w:pPr>
        <w:jc w:val="both"/>
        <w:rPr>
          <w:lang w:val="en-US"/>
        </w:rPr>
      </w:pPr>
    </w:p>
    <w:p w14:paraId="0B73B666" w14:textId="77777777" w:rsidR="00CE6598" w:rsidRDefault="00836E32">
      <w:pPr>
        <w:jc w:val="both"/>
        <w:rPr>
          <w:lang w:val="en-US"/>
        </w:rPr>
      </w:pPr>
      <w:r>
        <w:rPr>
          <w:noProof/>
        </w:rPr>
        <w:drawing>
          <wp:inline distT="0" distB="0" distL="0" distR="0" wp14:anchorId="48B35B27" wp14:editId="23BCB9F7">
            <wp:extent cx="2865755" cy="1115695"/>
            <wp:effectExtent l="0" t="0" r="0" b="0"/>
            <wp:docPr id="4"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Diagram&#10;&#10;Description automatically generated"/>
                    <pic:cNvPicPr>
                      <a:picLocks noChangeAspect="1" noChangeArrowheads="1"/>
                    </pic:cNvPicPr>
                  </pic:nvPicPr>
                  <pic:blipFill>
                    <a:blip r:embed="rId15"/>
                    <a:stretch>
                      <a:fillRect/>
                    </a:stretch>
                  </pic:blipFill>
                  <pic:spPr bwMode="auto">
                    <a:xfrm>
                      <a:off x="0" y="0"/>
                      <a:ext cx="2865755" cy="1115695"/>
                    </a:xfrm>
                    <a:prstGeom prst="rect">
                      <a:avLst/>
                    </a:prstGeom>
                    <a:ln w="12700">
                      <a:solidFill>
                        <a:srgbClr val="000000"/>
                      </a:solidFill>
                    </a:ln>
                  </pic:spPr>
                </pic:pic>
              </a:graphicData>
            </a:graphic>
          </wp:inline>
        </w:drawing>
      </w:r>
      <w:r>
        <w:rPr>
          <w:noProof/>
        </w:rPr>
        <w:drawing>
          <wp:inline distT="0" distB="0" distL="0" distR="0" wp14:anchorId="1A37078F" wp14:editId="4C29AFB9">
            <wp:extent cx="2798445" cy="1112520"/>
            <wp:effectExtent l="0" t="0" r="0" b="0"/>
            <wp:docPr id="5"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Diagram&#10;&#10;Description automatically generated"/>
                    <pic:cNvPicPr>
                      <a:picLocks noChangeAspect="1" noChangeArrowheads="1"/>
                    </pic:cNvPicPr>
                  </pic:nvPicPr>
                  <pic:blipFill>
                    <a:blip r:embed="rId16"/>
                    <a:stretch>
                      <a:fillRect/>
                    </a:stretch>
                  </pic:blipFill>
                  <pic:spPr bwMode="auto">
                    <a:xfrm>
                      <a:off x="0" y="0"/>
                      <a:ext cx="2798445" cy="1112520"/>
                    </a:xfrm>
                    <a:prstGeom prst="rect">
                      <a:avLst/>
                    </a:prstGeom>
                    <a:ln w="12700">
                      <a:solidFill>
                        <a:srgbClr val="000000"/>
                      </a:solidFill>
                    </a:ln>
                  </pic:spPr>
                </pic:pic>
              </a:graphicData>
            </a:graphic>
          </wp:inline>
        </w:drawing>
      </w:r>
    </w:p>
    <w:p w14:paraId="7129113D" w14:textId="77777777" w:rsidR="00CE6598" w:rsidRDefault="00836E32">
      <w:pPr>
        <w:jc w:val="both"/>
        <w:rPr>
          <w:lang w:val="en-US"/>
        </w:rPr>
      </w:pPr>
      <w:r>
        <w:rPr>
          <w:noProof/>
        </w:rPr>
        <w:drawing>
          <wp:inline distT="0" distB="0" distL="0" distR="0" wp14:anchorId="76471D93" wp14:editId="21469AA6">
            <wp:extent cx="2865755" cy="1047115"/>
            <wp:effectExtent l="0" t="0" r="0" b="0"/>
            <wp:docPr id="6"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descr="Diagram&#10;&#10;Description automatically generated"/>
                    <pic:cNvPicPr>
                      <a:picLocks noChangeAspect="1" noChangeArrowheads="1"/>
                    </pic:cNvPicPr>
                  </pic:nvPicPr>
                  <pic:blipFill>
                    <a:blip r:embed="rId17"/>
                    <a:stretch>
                      <a:fillRect/>
                    </a:stretch>
                  </pic:blipFill>
                  <pic:spPr bwMode="auto">
                    <a:xfrm>
                      <a:off x="0" y="0"/>
                      <a:ext cx="2865755" cy="1047115"/>
                    </a:xfrm>
                    <a:prstGeom prst="rect">
                      <a:avLst/>
                    </a:prstGeom>
                    <a:ln w="12700">
                      <a:solidFill>
                        <a:srgbClr val="000000"/>
                      </a:solidFill>
                    </a:ln>
                  </pic:spPr>
                </pic:pic>
              </a:graphicData>
            </a:graphic>
          </wp:inline>
        </w:drawing>
      </w:r>
      <w:r>
        <w:rPr>
          <w:noProof/>
        </w:rPr>
        <w:drawing>
          <wp:inline distT="0" distB="0" distL="0" distR="0" wp14:anchorId="2CA78ABA" wp14:editId="3281D2CB">
            <wp:extent cx="2797810" cy="1052830"/>
            <wp:effectExtent l="0" t="0" r="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noChangeArrowheads="1"/>
                    </pic:cNvPicPr>
                  </pic:nvPicPr>
                  <pic:blipFill>
                    <a:blip r:embed="rId18"/>
                    <a:stretch>
                      <a:fillRect/>
                    </a:stretch>
                  </pic:blipFill>
                  <pic:spPr bwMode="auto">
                    <a:xfrm>
                      <a:off x="0" y="0"/>
                      <a:ext cx="2797810" cy="1052830"/>
                    </a:xfrm>
                    <a:prstGeom prst="rect">
                      <a:avLst/>
                    </a:prstGeom>
                    <a:ln w="12700">
                      <a:solidFill>
                        <a:srgbClr val="000000"/>
                      </a:solidFill>
                    </a:ln>
                  </pic:spPr>
                </pic:pic>
              </a:graphicData>
            </a:graphic>
          </wp:inline>
        </w:drawing>
      </w:r>
    </w:p>
    <w:p w14:paraId="4F87351D" w14:textId="45F5275D" w:rsidR="00CE6598" w:rsidRDefault="00836E32">
      <w:pPr>
        <w:jc w:val="both"/>
        <w:rPr>
          <w:lang w:val="en-US"/>
        </w:rPr>
      </w:pPr>
      <w:r>
        <w:rPr>
          <w:b/>
          <w:bCs/>
          <w:sz w:val="18"/>
          <w:szCs w:val="18"/>
          <w:lang w:val="en-US"/>
        </w:rPr>
        <w:t>Figure A</w:t>
      </w:r>
      <w:r>
        <w:rPr>
          <w:sz w:val="18"/>
          <w:szCs w:val="18"/>
          <w:lang w:val="en-US"/>
        </w:rPr>
        <w:t>. The groups identified by each of the four instruments in the pilot.</w:t>
      </w:r>
      <w:r w:rsidR="00D1763D">
        <w:rPr>
          <w:sz w:val="18"/>
          <w:szCs w:val="18"/>
          <w:lang w:val="en-US"/>
        </w:rPr>
        <w:t xml:space="preserve"> </w:t>
      </w:r>
      <w:r w:rsidR="00B81F15">
        <w:rPr>
          <w:sz w:val="18"/>
          <w:szCs w:val="18"/>
          <w:lang w:val="en-US"/>
        </w:rPr>
        <w:t>W</w:t>
      </w:r>
      <w:r w:rsidR="00D1763D">
        <w:rPr>
          <w:sz w:val="18"/>
          <w:szCs w:val="18"/>
          <w:lang w:val="en-US"/>
        </w:rPr>
        <w:t xml:space="preserve">e present only the </w:t>
      </w:r>
      <w:r w:rsidR="00152BD1">
        <w:rPr>
          <w:sz w:val="18"/>
          <w:szCs w:val="18"/>
          <w:lang w:val="en-US"/>
        </w:rPr>
        <w:t>higher cutoff (3/4) for THL1</w:t>
      </w:r>
      <w:r w:rsidR="00D1763D">
        <w:rPr>
          <w:sz w:val="18"/>
          <w:szCs w:val="18"/>
          <w:lang w:val="en-US"/>
        </w:rPr>
        <w:t>.</w:t>
      </w:r>
      <w:r w:rsidR="00152BD1">
        <w:rPr>
          <w:sz w:val="18"/>
          <w:szCs w:val="18"/>
          <w:lang w:val="en-US"/>
        </w:rPr>
        <w:t xml:space="preserve"> </w:t>
      </w:r>
    </w:p>
    <w:p w14:paraId="110D7F5E" w14:textId="77777777" w:rsidR="00CE6598" w:rsidRDefault="00CE6598">
      <w:pPr>
        <w:jc w:val="both"/>
        <w:rPr>
          <w:lang w:val="en-US"/>
        </w:rPr>
      </w:pPr>
    </w:p>
    <w:p w14:paraId="4DDBE6DB" w14:textId="187BCD38" w:rsidR="00CE6598" w:rsidRDefault="00836E32">
      <w:pPr>
        <w:jc w:val="both"/>
        <w:rPr>
          <w:lang w:val="en-US"/>
        </w:rPr>
      </w:pPr>
      <w:r>
        <w:rPr>
          <w:lang w:val="en-US"/>
        </w:rPr>
        <w:t xml:space="preserve">For H3, the data provided us with estimates for mental and physical health differences. The respondents filled out GPH-2 and GMH-2 scales (Hays et al. 2017), which have been localized and tested by the collaboration of the National Institute for Health and Welfare and PROMIS Health Organization (THL 2021). Because the Finnish translation does not have published validation studies yet, we tested their internal consistencies (existing Stata code </w:t>
      </w:r>
      <w:hyperlink r:id="rId19" w:history="1">
        <w:r w:rsidR="00283369" w:rsidRPr="002D1783">
          <w:rPr>
            <w:rStyle w:val="Hyperlink"/>
            <w:lang w:val="en-US"/>
          </w:rPr>
          <w:t>https://www</w:t>
        </w:r>
      </w:hyperlink>
      <w:r>
        <w:rPr>
          <w:lang w:val="en-US"/>
        </w:rPr>
        <w:t>.stata.com/manuals13/mvalpha.pdf). The coefficient alpha for GMH-2 was good (0.78) and for GPH-2 slightly below (0.66). Spearman-Brown produced the same results. Due to the instruments having only two items, and the translations having been done carefully with a professional linguist, we considered the instruments valid for use in this study.</w:t>
      </w:r>
    </w:p>
    <w:p w14:paraId="1206DF24" w14:textId="49B42B56" w:rsidR="00C7495D" w:rsidRPr="00D52C94" w:rsidRDefault="00836E32" w:rsidP="00D52C94">
      <w:pPr>
        <w:ind w:firstLine="720"/>
        <w:jc w:val="both"/>
        <w:rPr>
          <w:lang w:val="en-US"/>
        </w:rPr>
      </w:pPr>
      <w:r>
        <w:rPr>
          <w:lang w:val="en-US"/>
        </w:rPr>
        <w:t xml:space="preserve">The sample size allowed us to compare the GAS7 </w:t>
      </w:r>
      <w:r w:rsidR="00E831E4">
        <w:rPr>
          <w:lang w:val="en-US"/>
        </w:rPr>
        <w:t xml:space="preserve">criteria meeting </w:t>
      </w:r>
      <w:r>
        <w:rPr>
          <w:lang w:val="en-US"/>
        </w:rPr>
        <w:t>group (</w:t>
      </w:r>
      <w:r>
        <w:rPr>
          <w:i/>
          <w:lang w:val="en-US"/>
        </w:rPr>
        <w:t>n</w:t>
      </w:r>
      <w:r>
        <w:rPr>
          <w:lang w:val="en-US"/>
        </w:rPr>
        <w:t xml:space="preserve">=89) mental and physical health with the general population. In terms of both mental and physical health, the general population had slightly higher mean values than the individuals identified by GAS7 (see reference values in the Methods section). A one-way analysis of variance (existing State code </w:t>
      </w:r>
      <w:hyperlink r:id="rId20" w:history="1">
        <w:r w:rsidR="00283369" w:rsidRPr="002D1783">
          <w:rPr>
            <w:rStyle w:val="Hyperlink"/>
            <w:lang w:val="en-US"/>
          </w:rPr>
          <w:t>https://www</w:t>
        </w:r>
      </w:hyperlink>
      <w:r>
        <w:rPr>
          <w:lang w:val="en-US"/>
        </w:rPr>
        <w:t xml:space="preserve">.stata.com/manuals13/mvalpha.pdf) test showed that there was a statistically significant difference between both physical health </w:t>
      </w:r>
      <w:r w:rsidR="00A344DE">
        <w:rPr>
          <w:lang w:val="en-US"/>
        </w:rPr>
        <w:t>(</w:t>
      </w:r>
      <w:r>
        <w:rPr>
          <w:lang w:val="en-US"/>
        </w:rPr>
        <w:t>F</w:t>
      </w:r>
      <w:r w:rsidR="00A344DE">
        <w:rPr>
          <w:lang w:val="en-US"/>
        </w:rPr>
        <w:t>[</w:t>
      </w:r>
      <w:r>
        <w:rPr>
          <w:lang w:val="en-US"/>
        </w:rPr>
        <w:t>1, 998</w:t>
      </w:r>
      <w:r w:rsidR="00A344DE">
        <w:rPr>
          <w:lang w:val="en-US"/>
        </w:rPr>
        <w:t>]</w:t>
      </w:r>
      <w:r>
        <w:rPr>
          <w:lang w:val="en-US"/>
        </w:rPr>
        <w:t xml:space="preserve">=4.66, </w:t>
      </w:r>
      <w:r>
        <w:rPr>
          <w:i/>
          <w:lang w:val="en-US"/>
        </w:rPr>
        <w:t>p</w:t>
      </w:r>
      <w:r>
        <w:rPr>
          <w:lang w:val="en-US"/>
        </w:rPr>
        <w:t xml:space="preserve">&lt;0.05, Cohen’s </w:t>
      </w:r>
      <w:r>
        <w:rPr>
          <w:i/>
          <w:lang w:val="en-US"/>
        </w:rPr>
        <w:t>d</w:t>
      </w:r>
      <w:r>
        <w:rPr>
          <w:lang w:val="en-US"/>
        </w:rPr>
        <w:t xml:space="preserve">=0.23 (95% CI </w:t>
      </w:r>
      <w:r w:rsidR="002B1076">
        <w:rPr>
          <w:lang w:val="en-US"/>
        </w:rPr>
        <w:t>[</w:t>
      </w:r>
      <w:r w:rsidR="00A344DE">
        <w:rPr>
          <w:lang w:val="en-US"/>
        </w:rPr>
        <w:t>0</w:t>
      </w:r>
      <w:r>
        <w:rPr>
          <w:lang w:val="en-US"/>
        </w:rPr>
        <w:t xml:space="preserve">.14, </w:t>
      </w:r>
      <w:r w:rsidR="00A344DE">
        <w:rPr>
          <w:lang w:val="en-US"/>
        </w:rPr>
        <w:t>0</w:t>
      </w:r>
      <w:r>
        <w:rPr>
          <w:lang w:val="en-US"/>
        </w:rPr>
        <w:t xml:space="preserve">.33)] and mental health </w:t>
      </w:r>
      <w:r w:rsidR="00A344DE">
        <w:rPr>
          <w:lang w:val="en-US"/>
        </w:rPr>
        <w:t>(</w:t>
      </w:r>
      <w:r>
        <w:rPr>
          <w:lang w:val="en-US"/>
        </w:rPr>
        <w:t>F</w:t>
      </w:r>
      <w:r w:rsidR="00A344DE">
        <w:rPr>
          <w:lang w:val="en-US"/>
        </w:rPr>
        <w:t>[</w:t>
      </w:r>
      <w:r>
        <w:rPr>
          <w:lang w:val="en-US"/>
        </w:rPr>
        <w:t>1,998</w:t>
      </w:r>
      <w:r w:rsidR="00A344DE">
        <w:rPr>
          <w:lang w:val="en-US"/>
        </w:rPr>
        <w:t>]</w:t>
      </w:r>
      <w:r>
        <w:rPr>
          <w:lang w:val="en-US"/>
        </w:rPr>
        <w:t xml:space="preserve">=8.53, p&lt;0.01, Cohen’s </w:t>
      </w:r>
      <w:r>
        <w:rPr>
          <w:i/>
          <w:lang w:val="en-US"/>
        </w:rPr>
        <w:t>d</w:t>
      </w:r>
      <w:r>
        <w:rPr>
          <w:lang w:val="en-US"/>
        </w:rPr>
        <w:t>=0.32</w:t>
      </w:r>
      <w:r w:rsidR="00743BF0">
        <w:rPr>
          <w:lang w:val="en-US"/>
        </w:rPr>
        <w:t xml:space="preserve">, </w:t>
      </w:r>
      <w:r>
        <w:rPr>
          <w:lang w:val="en-US"/>
        </w:rPr>
        <w:t xml:space="preserve">95% CI </w:t>
      </w:r>
      <w:r w:rsidR="00A344DE">
        <w:rPr>
          <w:lang w:val="en-US"/>
        </w:rPr>
        <w:t>[0</w:t>
      </w:r>
      <w:r>
        <w:rPr>
          <w:lang w:val="en-US"/>
        </w:rPr>
        <w:t xml:space="preserve">.22, </w:t>
      </w:r>
      <w:r w:rsidR="00A344DE">
        <w:rPr>
          <w:lang w:val="en-US"/>
        </w:rPr>
        <w:t>0</w:t>
      </w:r>
      <w:r>
        <w:rPr>
          <w:lang w:val="en-US"/>
        </w:rPr>
        <w:t>.41]</w:t>
      </w:r>
      <w:r w:rsidR="00A344DE">
        <w:rPr>
          <w:lang w:val="en-US"/>
        </w:rPr>
        <w:t>)</w:t>
      </w:r>
      <w:r>
        <w:rPr>
          <w:lang w:val="en-US"/>
        </w:rPr>
        <w:t xml:space="preserve">. </w:t>
      </w:r>
      <w:r w:rsidR="00360E65">
        <w:rPr>
          <w:lang w:val="en-US"/>
        </w:rPr>
        <w:t>When identifying a group by the lower THL1 cutoff 2/4 (</w:t>
      </w:r>
      <w:r w:rsidR="00360E65" w:rsidRPr="00360E65">
        <w:rPr>
          <w:i/>
          <w:iCs/>
          <w:lang w:val="en-US"/>
        </w:rPr>
        <w:t>n</w:t>
      </w:r>
      <w:r w:rsidR="00360E65">
        <w:rPr>
          <w:lang w:val="en-US"/>
        </w:rPr>
        <w:t xml:space="preserve">=138), </w:t>
      </w:r>
      <w:r w:rsidR="00C7495D">
        <w:rPr>
          <w:lang w:val="en-US"/>
        </w:rPr>
        <w:t>the</w:t>
      </w:r>
      <w:r w:rsidR="00360E65">
        <w:rPr>
          <w:lang w:val="en-US"/>
        </w:rPr>
        <w:t xml:space="preserve"> effects were </w:t>
      </w:r>
      <w:r w:rsidR="00360E65">
        <w:rPr>
          <w:lang w:val="en-US"/>
        </w:rPr>
        <w:lastRenderedPageBreak/>
        <w:t xml:space="preserve">smaller </w:t>
      </w:r>
      <w:r w:rsidR="00A344DE">
        <w:rPr>
          <w:lang w:val="en-US"/>
        </w:rPr>
        <w:t>(</w:t>
      </w:r>
      <w:r w:rsidR="00C7495D">
        <w:rPr>
          <w:lang w:val="en-US"/>
        </w:rPr>
        <w:t xml:space="preserve">lower physical health </w:t>
      </w:r>
      <w:r w:rsidR="00E863B1" w:rsidRPr="00E863B1">
        <w:rPr>
          <w:i/>
          <w:iCs/>
          <w:lang w:val="en-US"/>
        </w:rPr>
        <w:t>p</w:t>
      </w:r>
      <w:r w:rsidR="00E863B1">
        <w:rPr>
          <w:lang w:val="en-US"/>
        </w:rPr>
        <w:t xml:space="preserve">=0.09, </w:t>
      </w:r>
      <w:r w:rsidR="00C7495D" w:rsidRPr="00FB7027">
        <w:rPr>
          <w:i/>
          <w:iCs/>
          <w:lang w:val="en-US"/>
        </w:rPr>
        <w:t>d</w:t>
      </w:r>
      <w:r w:rsidR="00C7495D">
        <w:rPr>
          <w:lang w:val="en-US"/>
        </w:rPr>
        <w:t>=0.1</w:t>
      </w:r>
      <w:r w:rsidR="00E863B1">
        <w:rPr>
          <w:lang w:val="en-US"/>
        </w:rPr>
        <w:t>3</w:t>
      </w:r>
      <w:r w:rsidR="00C7495D">
        <w:rPr>
          <w:lang w:val="en-US"/>
        </w:rPr>
        <w:t xml:space="preserve">, 95% CI </w:t>
      </w:r>
      <w:r w:rsidR="00743BF0">
        <w:rPr>
          <w:lang w:val="en-US"/>
        </w:rPr>
        <w:t>[</w:t>
      </w:r>
      <w:r w:rsidR="00A344DE">
        <w:rPr>
          <w:lang w:val="en-US"/>
        </w:rPr>
        <w:t>0</w:t>
      </w:r>
      <w:r w:rsidR="00C7495D">
        <w:rPr>
          <w:lang w:val="en-US"/>
        </w:rPr>
        <w:t>.</w:t>
      </w:r>
      <w:r w:rsidR="00E863B1">
        <w:rPr>
          <w:lang w:val="en-US"/>
        </w:rPr>
        <w:t>30</w:t>
      </w:r>
      <w:r w:rsidR="00743BF0">
        <w:rPr>
          <w:lang w:val="en-US"/>
        </w:rPr>
        <w:t xml:space="preserve">, </w:t>
      </w:r>
      <w:r w:rsidR="00A344DE">
        <w:rPr>
          <w:lang w:val="en-US"/>
        </w:rPr>
        <w:t>-0</w:t>
      </w:r>
      <w:r w:rsidR="00C7495D">
        <w:rPr>
          <w:lang w:val="en-US"/>
        </w:rPr>
        <w:t>.</w:t>
      </w:r>
      <w:r w:rsidR="0062532B">
        <w:rPr>
          <w:lang w:val="en-US"/>
        </w:rPr>
        <w:t>0</w:t>
      </w:r>
      <w:r w:rsidR="00E863B1">
        <w:rPr>
          <w:lang w:val="en-US"/>
        </w:rPr>
        <w:t>5</w:t>
      </w:r>
      <w:r w:rsidR="00743BF0">
        <w:rPr>
          <w:lang w:val="en-US"/>
        </w:rPr>
        <w:t>]</w:t>
      </w:r>
      <w:r w:rsidR="00A344DE">
        <w:rPr>
          <w:lang w:val="en-US"/>
        </w:rPr>
        <w:t>;</w:t>
      </w:r>
      <w:r w:rsidR="00C7495D">
        <w:rPr>
          <w:lang w:val="en-US"/>
        </w:rPr>
        <w:t xml:space="preserve"> lower mental health </w:t>
      </w:r>
      <w:r w:rsidR="00E863B1" w:rsidRPr="00E863B1">
        <w:rPr>
          <w:i/>
          <w:iCs/>
          <w:lang w:val="en-US"/>
        </w:rPr>
        <w:t>p</w:t>
      </w:r>
      <w:r w:rsidR="00E863B1">
        <w:rPr>
          <w:lang w:val="en-US"/>
        </w:rPr>
        <w:t xml:space="preserve">=0.04, </w:t>
      </w:r>
      <w:r w:rsidR="00C7495D" w:rsidRPr="00FB7027">
        <w:rPr>
          <w:i/>
          <w:iCs/>
          <w:lang w:val="en-US"/>
        </w:rPr>
        <w:t>d</w:t>
      </w:r>
      <w:r w:rsidR="00C7495D">
        <w:rPr>
          <w:lang w:val="en-US"/>
        </w:rPr>
        <w:t>=0.1</w:t>
      </w:r>
      <w:r w:rsidR="00E863B1">
        <w:rPr>
          <w:lang w:val="en-US"/>
        </w:rPr>
        <w:t>6</w:t>
      </w:r>
      <w:r w:rsidR="00C7495D">
        <w:rPr>
          <w:lang w:val="en-US"/>
        </w:rPr>
        <w:t xml:space="preserve">, 95% CI </w:t>
      </w:r>
      <w:r w:rsidR="00743BF0">
        <w:rPr>
          <w:lang w:val="en-US"/>
        </w:rPr>
        <w:t>[</w:t>
      </w:r>
      <w:r w:rsidR="00A344DE">
        <w:rPr>
          <w:lang w:val="en-US"/>
        </w:rPr>
        <w:t>0</w:t>
      </w:r>
      <w:r w:rsidR="00C7495D">
        <w:rPr>
          <w:lang w:val="en-US"/>
        </w:rPr>
        <w:t>.</w:t>
      </w:r>
      <w:r w:rsidR="0062532B">
        <w:rPr>
          <w:lang w:val="en-US"/>
        </w:rPr>
        <w:t>3</w:t>
      </w:r>
      <w:r w:rsidR="00E863B1">
        <w:rPr>
          <w:lang w:val="en-US"/>
        </w:rPr>
        <w:t>4</w:t>
      </w:r>
      <w:r w:rsidR="00743BF0">
        <w:rPr>
          <w:lang w:val="en-US"/>
        </w:rPr>
        <w:t xml:space="preserve">, </w:t>
      </w:r>
      <w:r w:rsidR="00A344DE">
        <w:rPr>
          <w:lang w:val="en-US"/>
        </w:rPr>
        <w:t>-0</w:t>
      </w:r>
      <w:r w:rsidR="00C7495D">
        <w:rPr>
          <w:lang w:val="en-US"/>
        </w:rPr>
        <w:t>.</w:t>
      </w:r>
      <w:r w:rsidR="0062532B">
        <w:rPr>
          <w:lang w:val="en-US"/>
        </w:rPr>
        <w:t>0</w:t>
      </w:r>
      <w:r w:rsidR="00E863B1">
        <w:rPr>
          <w:lang w:val="en-US"/>
        </w:rPr>
        <w:t>2</w:t>
      </w:r>
      <w:r w:rsidR="00C7495D">
        <w:rPr>
          <w:lang w:val="en-US"/>
        </w:rPr>
        <w:t>]</w:t>
      </w:r>
      <w:r w:rsidR="00A344DE">
        <w:rPr>
          <w:lang w:val="en-US"/>
        </w:rPr>
        <w:t>)</w:t>
      </w:r>
      <w:r w:rsidR="00C7495D">
        <w:rPr>
          <w:lang w:val="en-US"/>
        </w:rPr>
        <w:t xml:space="preserve"> and the C</w:t>
      </w:r>
      <w:r w:rsidR="0090501A">
        <w:rPr>
          <w:lang w:val="en-US"/>
        </w:rPr>
        <w:t>I</w:t>
      </w:r>
      <w:r w:rsidR="00C7495D">
        <w:rPr>
          <w:lang w:val="en-US"/>
        </w:rPr>
        <w:t xml:space="preserve">s crossed both null and our smallest effect size of interest. To seek clarifying support, we accessed and analyzed a </w:t>
      </w:r>
      <w:r w:rsidR="00A36E6A">
        <w:rPr>
          <w:lang w:val="en-US"/>
        </w:rPr>
        <w:t>recently opened</w:t>
      </w:r>
      <w:r w:rsidR="00C7495D">
        <w:rPr>
          <w:lang w:val="en-US"/>
        </w:rPr>
        <w:t xml:space="preserve"> nationally representative dataset (</w:t>
      </w:r>
      <w:r w:rsidR="00C7495D" w:rsidRPr="00C7495D">
        <w:rPr>
          <w:i/>
          <w:iCs/>
          <w:lang w:val="en-US"/>
        </w:rPr>
        <w:t>N</w:t>
      </w:r>
      <w:r w:rsidR="00C7495D">
        <w:rPr>
          <w:lang w:val="en-US"/>
        </w:rPr>
        <w:t>=3994)</w:t>
      </w:r>
      <w:r w:rsidR="00A36E6A">
        <w:rPr>
          <w:lang w:val="en-US"/>
        </w:rPr>
        <w:t>,</w:t>
      </w:r>
      <w:r w:rsidR="00C7495D">
        <w:rPr>
          <w:lang w:val="en-US"/>
        </w:rPr>
        <w:t xml:space="preserve"> shared by the Finnish Health Institute (THL &amp; Salonen 2021). The data were collected </w:t>
      </w:r>
      <w:r w:rsidR="00D52C94">
        <w:rPr>
          <w:lang w:val="en-US"/>
        </w:rPr>
        <w:t xml:space="preserve">for gambling research, but it also included modified GAS7 (timespan changed from 6 months to 12 months and “gaming” replaced by “digital gaming”), the original THL1, and </w:t>
      </w:r>
      <w:r w:rsidR="00D52C94" w:rsidRPr="000A125C">
        <w:rPr>
          <w:lang w:val="en-US"/>
        </w:rPr>
        <w:t xml:space="preserve">Mental Health Inventory </w:t>
      </w:r>
      <w:r w:rsidR="00D52C94" w:rsidRPr="00D52C94">
        <w:rPr>
          <w:lang w:val="en-US"/>
        </w:rPr>
        <w:t>5 (</w:t>
      </w:r>
      <w:r w:rsidR="00D52C94">
        <w:rPr>
          <w:lang w:val="en-US"/>
        </w:rPr>
        <w:t>Berwick et al. 1991</w:t>
      </w:r>
      <w:r w:rsidR="00D52C94" w:rsidRPr="00D52C94">
        <w:rPr>
          <w:lang w:val="en-US"/>
        </w:rPr>
        <w:t>)</w:t>
      </w:r>
      <w:r w:rsidR="00D52C94">
        <w:rPr>
          <w:lang w:val="en-US"/>
        </w:rPr>
        <w:t>. We found both GAS7 (</w:t>
      </w:r>
      <w:r w:rsidR="00D52C94" w:rsidRPr="00D52C94">
        <w:rPr>
          <w:i/>
          <w:iCs/>
          <w:lang w:val="en-US"/>
        </w:rPr>
        <w:t>p</w:t>
      </w:r>
      <w:r w:rsidR="00D52C94">
        <w:rPr>
          <w:lang w:val="en-US"/>
        </w:rPr>
        <w:t xml:space="preserve">=.015, </w:t>
      </w:r>
      <w:r w:rsidR="00D52C94" w:rsidRPr="00D52C94">
        <w:rPr>
          <w:i/>
          <w:iCs/>
          <w:lang w:val="en-US"/>
        </w:rPr>
        <w:t>d</w:t>
      </w:r>
      <w:r w:rsidR="00D52C94">
        <w:rPr>
          <w:lang w:val="en-US"/>
        </w:rPr>
        <w:t>=0.</w:t>
      </w:r>
      <w:r w:rsidR="00F7543A">
        <w:rPr>
          <w:lang w:val="en-US"/>
        </w:rPr>
        <w:t>37</w:t>
      </w:r>
      <w:r w:rsidR="00D52C94">
        <w:rPr>
          <w:lang w:val="en-US"/>
        </w:rPr>
        <w:t xml:space="preserve">, 95% CI </w:t>
      </w:r>
      <w:r w:rsidR="00743BF0">
        <w:rPr>
          <w:lang w:val="en-US"/>
        </w:rPr>
        <w:t>[</w:t>
      </w:r>
      <w:r w:rsidR="00A344DE">
        <w:rPr>
          <w:lang w:val="en-US"/>
        </w:rPr>
        <w:t>0</w:t>
      </w:r>
      <w:r w:rsidR="00D52C94">
        <w:rPr>
          <w:lang w:val="en-US"/>
        </w:rPr>
        <w:t>.1</w:t>
      </w:r>
      <w:r w:rsidR="00F7543A">
        <w:rPr>
          <w:lang w:val="en-US"/>
        </w:rPr>
        <w:t>4</w:t>
      </w:r>
      <w:r w:rsidR="00743BF0">
        <w:rPr>
          <w:lang w:val="en-US"/>
        </w:rPr>
        <w:t xml:space="preserve">, </w:t>
      </w:r>
      <w:r w:rsidR="00F7543A">
        <w:rPr>
          <w:lang w:val="en-US"/>
        </w:rPr>
        <w:t>2</w:t>
      </w:r>
      <w:r w:rsidR="00D52C94">
        <w:rPr>
          <w:lang w:val="en-US"/>
        </w:rPr>
        <w:t>.</w:t>
      </w:r>
      <w:r w:rsidR="00F7543A">
        <w:rPr>
          <w:lang w:val="en-US"/>
        </w:rPr>
        <w:t>26</w:t>
      </w:r>
      <w:r w:rsidR="00D52C94">
        <w:rPr>
          <w:lang w:val="en-US"/>
        </w:rPr>
        <w:t xml:space="preserve">) and THL1 (cutoff 2/4; </w:t>
      </w:r>
      <w:r w:rsidR="00D52C94" w:rsidRPr="00A36E6A">
        <w:rPr>
          <w:i/>
          <w:iCs/>
          <w:lang w:val="en-US"/>
        </w:rPr>
        <w:t>p</w:t>
      </w:r>
      <w:r w:rsidR="00D52C94">
        <w:rPr>
          <w:lang w:val="en-US"/>
        </w:rPr>
        <w:t>=.000</w:t>
      </w:r>
      <w:r w:rsidR="00A36E6A">
        <w:rPr>
          <w:lang w:val="en-US"/>
        </w:rPr>
        <w:t xml:space="preserve">, </w:t>
      </w:r>
      <w:r w:rsidR="00D52C94" w:rsidRPr="00D52C94">
        <w:rPr>
          <w:i/>
          <w:iCs/>
          <w:lang w:val="en-US"/>
        </w:rPr>
        <w:t>d</w:t>
      </w:r>
      <w:r w:rsidR="00D52C94">
        <w:rPr>
          <w:lang w:val="en-US"/>
        </w:rPr>
        <w:t>=</w:t>
      </w:r>
      <w:r w:rsidR="00F53346">
        <w:rPr>
          <w:lang w:val="en-US"/>
        </w:rPr>
        <w:t>0</w:t>
      </w:r>
      <w:r w:rsidR="00D52C94">
        <w:rPr>
          <w:lang w:val="en-US"/>
        </w:rPr>
        <w:t>.5</w:t>
      </w:r>
      <w:r w:rsidR="003D00E9">
        <w:rPr>
          <w:lang w:val="en-US"/>
        </w:rPr>
        <w:t>2</w:t>
      </w:r>
      <w:r w:rsidR="00D52C94">
        <w:rPr>
          <w:lang w:val="en-US"/>
        </w:rPr>
        <w:t xml:space="preserve">, 95% CI </w:t>
      </w:r>
      <w:r w:rsidR="00743BF0">
        <w:rPr>
          <w:lang w:val="en-US"/>
        </w:rPr>
        <w:t>[</w:t>
      </w:r>
      <w:r w:rsidR="00F53346">
        <w:rPr>
          <w:lang w:val="en-US"/>
        </w:rPr>
        <w:t>0</w:t>
      </w:r>
      <w:r w:rsidR="00D52C94">
        <w:rPr>
          <w:lang w:val="en-US"/>
        </w:rPr>
        <w:t>.3</w:t>
      </w:r>
      <w:r w:rsidR="00F7543A">
        <w:rPr>
          <w:lang w:val="en-US"/>
        </w:rPr>
        <w:t>5</w:t>
      </w:r>
      <w:r w:rsidR="00743BF0">
        <w:rPr>
          <w:lang w:val="en-US"/>
        </w:rPr>
        <w:t xml:space="preserve">, </w:t>
      </w:r>
      <w:r w:rsidR="00F53346">
        <w:rPr>
          <w:lang w:val="en-US"/>
        </w:rPr>
        <w:t>0</w:t>
      </w:r>
      <w:r w:rsidR="00D52C94">
        <w:rPr>
          <w:lang w:val="en-US"/>
        </w:rPr>
        <w:t>.6</w:t>
      </w:r>
      <w:r w:rsidR="00F7543A">
        <w:rPr>
          <w:lang w:val="en-US"/>
        </w:rPr>
        <w:t>5</w:t>
      </w:r>
      <w:r w:rsidR="00743BF0">
        <w:rPr>
          <w:lang w:val="en-US"/>
        </w:rPr>
        <w:t>]</w:t>
      </w:r>
      <w:r w:rsidR="00D52C94">
        <w:rPr>
          <w:lang w:val="en-US"/>
        </w:rPr>
        <w:t xml:space="preserve">) to </w:t>
      </w:r>
      <w:r w:rsidR="00A36E6A">
        <w:rPr>
          <w:lang w:val="en-US"/>
        </w:rPr>
        <w:t xml:space="preserve">correlate with lower mental health scores. This supported our H3a, but provided mixed evidence for H3b/c. Therefore, we decided to set competing H0 hypotheses for the latter. </w:t>
      </w:r>
    </w:p>
    <w:p w14:paraId="083431C2" w14:textId="160CEAC0" w:rsidR="00CE6598" w:rsidRDefault="00836E32">
      <w:pPr>
        <w:ind w:firstLine="720"/>
        <w:jc w:val="both"/>
        <w:rPr>
          <w:lang w:val="en-US"/>
        </w:rPr>
      </w:pPr>
      <w:r>
        <w:rPr>
          <w:lang w:val="en-US"/>
        </w:rPr>
        <w:t xml:space="preserve">We use these pilot data to specify outcome expectations for our hypotheses in the analysis plan section. Materials are available here: </w:t>
      </w:r>
      <w:hyperlink r:id="rId21">
        <w:r>
          <w:rPr>
            <w:rStyle w:val="Internetovodkaz"/>
            <w:lang w:val="en-US"/>
          </w:rPr>
          <w:t>https://osf.io/6fqm5/</w:t>
        </w:r>
      </w:hyperlink>
      <w:r>
        <w:rPr>
          <w:lang w:val="en-US"/>
        </w:rPr>
        <w:t xml:space="preserve"> </w:t>
      </w:r>
      <w:r>
        <w:rPr>
          <w:i/>
          <w:lang w:val="en-US"/>
        </w:rPr>
        <w:t xml:space="preserve"> </w:t>
      </w:r>
    </w:p>
    <w:p w14:paraId="55659CEB" w14:textId="1FEF57E3" w:rsidR="00CE6598" w:rsidRDefault="00836E32">
      <w:pPr>
        <w:ind w:firstLine="720"/>
        <w:jc w:val="both"/>
        <w:rPr>
          <w:lang w:val="en-US"/>
        </w:rPr>
      </w:pPr>
      <w:r>
        <w:rPr>
          <w:lang w:val="en-US"/>
        </w:rPr>
        <w:t xml:space="preserve">The final survey will also </w:t>
      </w:r>
      <w:r w:rsidR="00921AFE">
        <w:rPr>
          <w:lang w:val="en-US"/>
        </w:rPr>
        <w:t xml:space="preserve">measure gambling problems (Salonen &amp; Raisamo 2015; translation from </w:t>
      </w:r>
      <w:proofErr w:type="spellStart"/>
      <w:r w:rsidR="00921AFE">
        <w:rPr>
          <w:lang w:val="en-US"/>
        </w:rPr>
        <w:t>Gebeuer</w:t>
      </w:r>
      <w:proofErr w:type="spellEnd"/>
      <w:r w:rsidR="00921AFE">
        <w:rPr>
          <w:lang w:val="en-US"/>
        </w:rPr>
        <w:t xml:space="preserve"> et al. 2010), perceived loneliness (</w:t>
      </w:r>
      <w:proofErr w:type="spellStart"/>
      <w:r w:rsidR="00921AFE">
        <w:rPr>
          <w:lang w:val="en-US"/>
        </w:rPr>
        <w:t>Tilvis</w:t>
      </w:r>
      <w:proofErr w:type="spellEnd"/>
      <w:r w:rsidR="00921AFE">
        <w:rPr>
          <w:lang w:val="en-US"/>
        </w:rPr>
        <w:t xml:space="preserve"> et al. 2000), work ability</w:t>
      </w:r>
      <w:r>
        <w:rPr>
          <w:lang w:val="en-US"/>
        </w:rPr>
        <w:t xml:space="preserve"> (WAI short version</w:t>
      </w:r>
      <w:r w:rsidR="00D31A77">
        <w:rPr>
          <w:lang w:val="en-US"/>
        </w:rPr>
        <w:t>; Ilmarinen 2007</w:t>
      </w:r>
      <w:r>
        <w:rPr>
          <w:lang w:val="en-US"/>
        </w:rPr>
        <w:t xml:space="preserve">), </w:t>
      </w:r>
      <w:r w:rsidR="007C0C4D">
        <w:rPr>
          <w:lang w:val="en-US"/>
        </w:rPr>
        <w:t>and</w:t>
      </w:r>
      <w:r w:rsidR="00921AFE">
        <w:rPr>
          <w:lang w:val="en-US"/>
        </w:rPr>
        <w:t xml:space="preserve"> work recovery (</w:t>
      </w:r>
      <w:proofErr w:type="spellStart"/>
      <w:r w:rsidR="00921AFE">
        <w:rPr>
          <w:lang w:val="en-US"/>
        </w:rPr>
        <w:t>Mauno</w:t>
      </w:r>
      <w:proofErr w:type="spellEnd"/>
      <w:r w:rsidR="00921AFE">
        <w:rPr>
          <w:lang w:val="en-US"/>
        </w:rPr>
        <w:t xml:space="preserve"> </w:t>
      </w:r>
      <w:r w:rsidR="006910EE">
        <w:rPr>
          <w:lang w:val="en-US"/>
        </w:rPr>
        <w:t xml:space="preserve">et al. </w:t>
      </w:r>
      <w:r w:rsidR="00921AFE">
        <w:rPr>
          <w:lang w:val="en-US"/>
        </w:rPr>
        <w:t>20</w:t>
      </w:r>
      <w:r w:rsidR="006910EE">
        <w:rPr>
          <w:lang w:val="en-US"/>
        </w:rPr>
        <w:t>17</w:t>
      </w:r>
      <w:r w:rsidR="00921AFE">
        <w:rPr>
          <w:lang w:val="en-US"/>
        </w:rPr>
        <w:t>),</w:t>
      </w:r>
      <w:r w:rsidR="007C0C4D">
        <w:rPr>
          <w:lang w:val="en-US"/>
        </w:rPr>
        <w:t xml:space="preserve"> </w:t>
      </w:r>
      <w:r>
        <w:rPr>
          <w:lang w:val="en-US"/>
        </w:rPr>
        <w:t>which we will use exploratively. The results will not be reported in this registered report.</w:t>
      </w:r>
      <w:r w:rsidR="00487ED7">
        <w:rPr>
          <w:lang w:val="en-US"/>
        </w:rPr>
        <w:t xml:space="preserve"> Table 2 summarizes all measures.</w:t>
      </w:r>
    </w:p>
    <w:p w14:paraId="3641BB1D" w14:textId="2465FC78" w:rsidR="00CE6598" w:rsidRDefault="00CE6598">
      <w:pPr>
        <w:jc w:val="both"/>
        <w:rPr>
          <w:i/>
          <w:lang w:val="en-US"/>
        </w:rPr>
      </w:pPr>
    </w:p>
    <w:tbl>
      <w:tblPr>
        <w:tblStyle w:val="TableGrid"/>
        <w:tblW w:w="0" w:type="auto"/>
        <w:tblLook w:val="04A0" w:firstRow="1" w:lastRow="0" w:firstColumn="1" w:lastColumn="0" w:noHBand="0" w:noVBand="1"/>
      </w:tblPr>
      <w:tblGrid>
        <w:gridCol w:w="2999"/>
        <w:gridCol w:w="2999"/>
        <w:gridCol w:w="3000"/>
      </w:tblGrid>
      <w:tr w:rsidR="004A53A1" w14:paraId="3A37C78C" w14:textId="77777777" w:rsidTr="00393391">
        <w:trPr>
          <w:trHeight w:val="281"/>
        </w:trPr>
        <w:tc>
          <w:tcPr>
            <w:tcW w:w="2999" w:type="dxa"/>
          </w:tcPr>
          <w:p w14:paraId="10012A8D" w14:textId="77777777" w:rsidR="004A53A1" w:rsidRPr="00A12167" w:rsidRDefault="004A53A1" w:rsidP="00393391">
            <w:pPr>
              <w:jc w:val="center"/>
              <w:rPr>
                <w:b/>
                <w:bCs/>
                <w:iCs/>
                <w:sz w:val="20"/>
                <w:szCs w:val="20"/>
                <w:lang w:val="en-US"/>
              </w:rPr>
            </w:pPr>
            <w:r w:rsidRPr="00A12167">
              <w:rPr>
                <w:b/>
                <w:bCs/>
                <w:iCs/>
                <w:sz w:val="20"/>
                <w:szCs w:val="20"/>
                <w:lang w:val="en-US"/>
              </w:rPr>
              <w:t>Construct</w:t>
            </w:r>
          </w:p>
        </w:tc>
        <w:tc>
          <w:tcPr>
            <w:tcW w:w="2999" w:type="dxa"/>
          </w:tcPr>
          <w:p w14:paraId="17CA20E4" w14:textId="77777777" w:rsidR="004A53A1" w:rsidRPr="00A12167" w:rsidRDefault="004A53A1" w:rsidP="00393391">
            <w:pPr>
              <w:jc w:val="center"/>
              <w:rPr>
                <w:b/>
                <w:bCs/>
                <w:iCs/>
                <w:sz w:val="20"/>
                <w:szCs w:val="20"/>
                <w:lang w:val="en-US"/>
              </w:rPr>
            </w:pPr>
            <w:r w:rsidRPr="00A12167">
              <w:rPr>
                <w:b/>
                <w:bCs/>
                <w:iCs/>
                <w:sz w:val="20"/>
                <w:szCs w:val="20"/>
                <w:lang w:val="en-US"/>
              </w:rPr>
              <w:t>Measure</w:t>
            </w:r>
          </w:p>
        </w:tc>
        <w:tc>
          <w:tcPr>
            <w:tcW w:w="3000" w:type="dxa"/>
          </w:tcPr>
          <w:p w14:paraId="405C911C" w14:textId="77777777" w:rsidR="004A53A1" w:rsidRPr="00A12167" w:rsidRDefault="004A53A1" w:rsidP="00393391">
            <w:pPr>
              <w:jc w:val="center"/>
              <w:rPr>
                <w:b/>
                <w:bCs/>
                <w:iCs/>
                <w:sz w:val="20"/>
                <w:szCs w:val="20"/>
                <w:lang w:val="en-US"/>
              </w:rPr>
            </w:pPr>
            <w:r w:rsidRPr="00A12167">
              <w:rPr>
                <w:b/>
                <w:bCs/>
                <w:iCs/>
                <w:sz w:val="20"/>
                <w:szCs w:val="20"/>
                <w:lang w:val="en-US"/>
              </w:rPr>
              <w:t>Details</w:t>
            </w:r>
          </w:p>
        </w:tc>
      </w:tr>
      <w:tr w:rsidR="004A53A1" w14:paraId="69715EAC" w14:textId="77777777" w:rsidTr="00393391">
        <w:trPr>
          <w:trHeight w:val="281"/>
        </w:trPr>
        <w:tc>
          <w:tcPr>
            <w:tcW w:w="8998" w:type="dxa"/>
            <w:gridSpan w:val="3"/>
          </w:tcPr>
          <w:p w14:paraId="14D5CEF6" w14:textId="588CEFE1" w:rsidR="004A53A1" w:rsidRPr="00A12167" w:rsidRDefault="004A53A1" w:rsidP="00397E9C">
            <w:pPr>
              <w:jc w:val="center"/>
              <w:rPr>
                <w:i/>
                <w:sz w:val="20"/>
                <w:szCs w:val="20"/>
                <w:lang w:val="en-US"/>
              </w:rPr>
            </w:pPr>
            <w:r w:rsidRPr="00A12167">
              <w:rPr>
                <w:i/>
                <w:sz w:val="20"/>
                <w:szCs w:val="20"/>
                <w:lang w:val="en-US"/>
              </w:rPr>
              <w:t>Gaming-related health problems</w:t>
            </w:r>
          </w:p>
        </w:tc>
      </w:tr>
      <w:tr w:rsidR="00487ED7" w:rsidRPr="00D27FB4" w14:paraId="0ACE79D3" w14:textId="77777777" w:rsidTr="00397E9C">
        <w:trPr>
          <w:trHeight w:val="661"/>
        </w:trPr>
        <w:tc>
          <w:tcPr>
            <w:tcW w:w="2999" w:type="dxa"/>
          </w:tcPr>
          <w:p w14:paraId="3D49EC3D" w14:textId="2EAC3C18" w:rsidR="00487ED7" w:rsidRPr="00397E9C" w:rsidRDefault="00487ED7">
            <w:pPr>
              <w:jc w:val="both"/>
              <w:rPr>
                <w:iCs/>
                <w:sz w:val="20"/>
                <w:szCs w:val="20"/>
                <w:lang w:val="en-US"/>
              </w:rPr>
            </w:pPr>
            <w:r w:rsidRPr="00397E9C">
              <w:rPr>
                <w:iCs/>
                <w:sz w:val="20"/>
                <w:szCs w:val="20"/>
                <w:lang w:val="en-US"/>
              </w:rPr>
              <w:t>Gaming addiction</w:t>
            </w:r>
          </w:p>
        </w:tc>
        <w:tc>
          <w:tcPr>
            <w:tcW w:w="2999" w:type="dxa"/>
          </w:tcPr>
          <w:p w14:paraId="57F8AE62" w14:textId="3E079411" w:rsidR="00487ED7" w:rsidRPr="00397E9C" w:rsidRDefault="00487ED7">
            <w:pPr>
              <w:jc w:val="both"/>
              <w:rPr>
                <w:iCs/>
                <w:sz w:val="20"/>
                <w:szCs w:val="20"/>
                <w:lang w:val="en-US"/>
              </w:rPr>
            </w:pPr>
            <w:r w:rsidRPr="00397E9C">
              <w:rPr>
                <w:iCs/>
                <w:sz w:val="20"/>
                <w:szCs w:val="20"/>
                <w:lang w:val="en-US"/>
              </w:rPr>
              <w:t>Gaming addiction scale</w:t>
            </w:r>
            <w:del w:id="33" w:author="Karhulahti, Veli-Matti" w:date="2022-01-17T22:15:00Z">
              <w:r w:rsidRPr="00397E9C" w:rsidDel="00DF432B">
                <w:rPr>
                  <w:iCs/>
                  <w:sz w:val="20"/>
                  <w:szCs w:val="20"/>
                  <w:lang w:val="en-US"/>
                </w:rPr>
                <w:delText xml:space="preserve"> 7</w:delText>
              </w:r>
            </w:del>
            <w:r w:rsidRPr="00397E9C">
              <w:rPr>
                <w:iCs/>
                <w:sz w:val="20"/>
                <w:szCs w:val="20"/>
                <w:lang w:val="en-US"/>
              </w:rPr>
              <w:t xml:space="preserve"> (GAS7), Lemmens et al. (2009).</w:t>
            </w:r>
          </w:p>
        </w:tc>
        <w:tc>
          <w:tcPr>
            <w:tcW w:w="3000" w:type="dxa"/>
          </w:tcPr>
          <w:p w14:paraId="7A46D7B7" w14:textId="425DDBB1" w:rsidR="00487ED7" w:rsidRPr="00397E9C" w:rsidRDefault="0081637B">
            <w:pPr>
              <w:jc w:val="both"/>
              <w:rPr>
                <w:iCs/>
                <w:sz w:val="20"/>
                <w:szCs w:val="20"/>
                <w:lang w:val="en-US"/>
              </w:rPr>
            </w:pPr>
            <w:r>
              <w:rPr>
                <w:iCs/>
                <w:sz w:val="20"/>
                <w:szCs w:val="20"/>
                <w:lang w:val="en-US"/>
              </w:rPr>
              <w:t xml:space="preserve">7-item measure on scale 1–5, polythetic cutoff </w:t>
            </w:r>
            <w:r w:rsidR="007E4217">
              <w:rPr>
                <w:iCs/>
                <w:sz w:val="20"/>
                <w:szCs w:val="20"/>
                <w:lang w:val="en-US"/>
              </w:rPr>
              <w:t xml:space="preserve">4/7 </w:t>
            </w:r>
            <w:r>
              <w:rPr>
                <w:iCs/>
                <w:sz w:val="20"/>
                <w:szCs w:val="20"/>
                <w:lang w:val="en-US"/>
              </w:rPr>
              <w:t>by</w:t>
            </w:r>
            <w:r w:rsidR="007E4217">
              <w:rPr>
                <w:iCs/>
                <w:sz w:val="20"/>
                <w:szCs w:val="20"/>
                <w:lang w:val="en-US"/>
              </w:rPr>
              <w:t xml:space="preserve"> score</w:t>
            </w:r>
            <w:r>
              <w:rPr>
                <w:iCs/>
                <w:sz w:val="20"/>
                <w:szCs w:val="20"/>
                <w:lang w:val="en-US"/>
              </w:rPr>
              <w:t xml:space="preserve"> 3/5</w:t>
            </w:r>
            <w:r w:rsidR="00397E9C">
              <w:rPr>
                <w:iCs/>
                <w:sz w:val="20"/>
                <w:szCs w:val="20"/>
                <w:lang w:val="en-US"/>
              </w:rPr>
              <w:t xml:space="preserve"> </w:t>
            </w:r>
          </w:p>
        </w:tc>
      </w:tr>
      <w:tr w:rsidR="00487ED7" w:rsidRPr="00D27FB4" w14:paraId="7D457AB5" w14:textId="77777777" w:rsidTr="00397E9C">
        <w:trPr>
          <w:trHeight w:val="661"/>
        </w:trPr>
        <w:tc>
          <w:tcPr>
            <w:tcW w:w="2999" w:type="dxa"/>
          </w:tcPr>
          <w:p w14:paraId="2E244E53" w14:textId="166D1B1E" w:rsidR="00487ED7" w:rsidRPr="00397E9C" w:rsidRDefault="00487ED7">
            <w:pPr>
              <w:jc w:val="both"/>
              <w:rPr>
                <w:iCs/>
                <w:sz w:val="20"/>
                <w:szCs w:val="20"/>
                <w:lang w:val="en-US"/>
              </w:rPr>
            </w:pPr>
            <w:r w:rsidRPr="00397E9C">
              <w:rPr>
                <w:iCs/>
                <w:sz w:val="20"/>
                <w:szCs w:val="20"/>
                <w:lang w:val="en-US"/>
              </w:rPr>
              <w:t>Internet gaming disorder</w:t>
            </w:r>
          </w:p>
        </w:tc>
        <w:tc>
          <w:tcPr>
            <w:tcW w:w="2999" w:type="dxa"/>
          </w:tcPr>
          <w:p w14:paraId="41DD823F" w14:textId="18D5657E" w:rsidR="00487ED7" w:rsidRPr="00397E9C" w:rsidRDefault="00487ED7">
            <w:pPr>
              <w:jc w:val="both"/>
              <w:rPr>
                <w:iCs/>
                <w:sz w:val="20"/>
                <w:szCs w:val="20"/>
                <w:lang w:val="en-US"/>
              </w:rPr>
            </w:pPr>
            <w:r w:rsidRPr="00397E9C">
              <w:rPr>
                <w:iCs/>
                <w:sz w:val="20"/>
                <w:szCs w:val="20"/>
                <w:lang w:val="en-US"/>
              </w:rPr>
              <w:t>Internet Gaming Disorder Test</w:t>
            </w:r>
            <w:del w:id="34" w:author="Karhulahti, Veli-Matti" w:date="2022-01-17T22:15:00Z">
              <w:r w:rsidRPr="00397E9C" w:rsidDel="00DF432B">
                <w:rPr>
                  <w:iCs/>
                  <w:sz w:val="20"/>
                  <w:szCs w:val="20"/>
                  <w:lang w:val="en-US"/>
                </w:rPr>
                <w:delText xml:space="preserve"> 10</w:delText>
              </w:r>
            </w:del>
            <w:r w:rsidRPr="00397E9C">
              <w:rPr>
                <w:iCs/>
                <w:sz w:val="20"/>
                <w:szCs w:val="20"/>
                <w:lang w:val="en-US"/>
              </w:rPr>
              <w:t xml:space="preserve"> (IGDT10), Király et al. (2017). </w:t>
            </w:r>
          </w:p>
        </w:tc>
        <w:tc>
          <w:tcPr>
            <w:tcW w:w="3000" w:type="dxa"/>
          </w:tcPr>
          <w:p w14:paraId="69DA7849" w14:textId="3D94EA6C" w:rsidR="00487ED7" w:rsidRPr="00397E9C" w:rsidRDefault="0081637B">
            <w:pPr>
              <w:jc w:val="both"/>
              <w:rPr>
                <w:iCs/>
                <w:sz w:val="20"/>
                <w:szCs w:val="20"/>
                <w:lang w:val="en-US"/>
              </w:rPr>
            </w:pPr>
            <w:r>
              <w:rPr>
                <w:iCs/>
                <w:sz w:val="20"/>
                <w:szCs w:val="20"/>
                <w:lang w:val="en-US"/>
              </w:rPr>
              <w:t>10-item measure on scale 1–3, polythetic cutoff</w:t>
            </w:r>
            <w:r w:rsidR="007E4217">
              <w:rPr>
                <w:iCs/>
                <w:sz w:val="20"/>
                <w:szCs w:val="20"/>
                <w:lang w:val="en-US"/>
              </w:rPr>
              <w:t xml:space="preserve"> 5/9</w:t>
            </w:r>
            <w:r>
              <w:rPr>
                <w:iCs/>
                <w:sz w:val="20"/>
                <w:szCs w:val="20"/>
                <w:lang w:val="en-US"/>
              </w:rPr>
              <w:t xml:space="preserve"> by </w:t>
            </w:r>
            <w:r w:rsidR="007E4217">
              <w:rPr>
                <w:iCs/>
                <w:sz w:val="20"/>
                <w:szCs w:val="20"/>
                <w:lang w:val="en-US"/>
              </w:rPr>
              <w:t xml:space="preserve">score </w:t>
            </w:r>
            <w:r>
              <w:rPr>
                <w:iCs/>
                <w:sz w:val="20"/>
                <w:szCs w:val="20"/>
                <w:lang w:val="en-US"/>
              </w:rPr>
              <w:t>3/3</w:t>
            </w:r>
          </w:p>
        </w:tc>
      </w:tr>
      <w:tr w:rsidR="00487ED7" w:rsidRPr="00D27FB4" w14:paraId="4287547E" w14:textId="77777777" w:rsidTr="00397E9C">
        <w:trPr>
          <w:trHeight w:val="622"/>
        </w:trPr>
        <w:tc>
          <w:tcPr>
            <w:tcW w:w="2999" w:type="dxa"/>
          </w:tcPr>
          <w:p w14:paraId="6D816B0F" w14:textId="6F86BCAA" w:rsidR="00487ED7" w:rsidRPr="00397E9C" w:rsidRDefault="00487ED7">
            <w:pPr>
              <w:jc w:val="both"/>
              <w:rPr>
                <w:iCs/>
                <w:sz w:val="20"/>
                <w:szCs w:val="20"/>
                <w:lang w:val="en-US"/>
              </w:rPr>
            </w:pPr>
            <w:r w:rsidRPr="00397E9C">
              <w:rPr>
                <w:iCs/>
                <w:sz w:val="20"/>
                <w:szCs w:val="20"/>
                <w:lang w:val="en-US"/>
              </w:rPr>
              <w:t>Gaming disorder</w:t>
            </w:r>
          </w:p>
        </w:tc>
        <w:tc>
          <w:tcPr>
            <w:tcW w:w="2999" w:type="dxa"/>
          </w:tcPr>
          <w:p w14:paraId="18F521A7" w14:textId="05CA8F39" w:rsidR="00487ED7" w:rsidRPr="00397E9C" w:rsidRDefault="00487ED7">
            <w:pPr>
              <w:jc w:val="both"/>
              <w:rPr>
                <w:iCs/>
                <w:sz w:val="20"/>
                <w:szCs w:val="20"/>
                <w:lang w:val="en-US"/>
              </w:rPr>
            </w:pPr>
            <w:r w:rsidRPr="00397E9C">
              <w:rPr>
                <w:iCs/>
                <w:sz w:val="20"/>
                <w:szCs w:val="20"/>
                <w:lang w:val="en-US"/>
              </w:rPr>
              <w:t xml:space="preserve">Gaming disorder test (GDT), Pontes et al. (2019). </w:t>
            </w:r>
          </w:p>
        </w:tc>
        <w:tc>
          <w:tcPr>
            <w:tcW w:w="3000" w:type="dxa"/>
          </w:tcPr>
          <w:p w14:paraId="0F18B93F" w14:textId="5D0044E5" w:rsidR="00487ED7" w:rsidRPr="00397E9C" w:rsidRDefault="00397E9C">
            <w:pPr>
              <w:jc w:val="both"/>
              <w:rPr>
                <w:iCs/>
                <w:sz w:val="20"/>
                <w:szCs w:val="20"/>
                <w:lang w:val="en-US"/>
              </w:rPr>
            </w:pPr>
            <w:r>
              <w:rPr>
                <w:iCs/>
                <w:sz w:val="20"/>
                <w:szCs w:val="20"/>
                <w:lang w:val="en-US"/>
              </w:rPr>
              <w:t xml:space="preserve">4-item measure on scale 1–5, monothetic </w:t>
            </w:r>
            <w:r w:rsidR="0081637B">
              <w:rPr>
                <w:iCs/>
                <w:sz w:val="20"/>
                <w:szCs w:val="20"/>
                <w:lang w:val="en-US"/>
              </w:rPr>
              <w:t>cutoff</w:t>
            </w:r>
            <w:r>
              <w:rPr>
                <w:iCs/>
                <w:sz w:val="20"/>
                <w:szCs w:val="20"/>
                <w:lang w:val="en-US"/>
              </w:rPr>
              <w:t xml:space="preserve"> </w:t>
            </w:r>
            <w:r w:rsidR="007E4217">
              <w:rPr>
                <w:iCs/>
                <w:sz w:val="20"/>
                <w:szCs w:val="20"/>
                <w:lang w:val="en-US"/>
              </w:rPr>
              <w:t xml:space="preserve">4/4 </w:t>
            </w:r>
            <w:r>
              <w:rPr>
                <w:iCs/>
                <w:sz w:val="20"/>
                <w:szCs w:val="20"/>
                <w:lang w:val="en-US"/>
              </w:rPr>
              <w:t xml:space="preserve">by </w:t>
            </w:r>
            <w:r w:rsidR="007E4217">
              <w:rPr>
                <w:iCs/>
                <w:sz w:val="20"/>
                <w:szCs w:val="20"/>
                <w:lang w:val="en-US"/>
              </w:rPr>
              <w:t xml:space="preserve">score </w:t>
            </w:r>
            <w:r>
              <w:rPr>
                <w:iCs/>
                <w:sz w:val="20"/>
                <w:szCs w:val="20"/>
                <w:lang w:val="en-US"/>
              </w:rPr>
              <w:t>4/5</w:t>
            </w:r>
          </w:p>
        </w:tc>
      </w:tr>
      <w:tr w:rsidR="00487ED7" w:rsidRPr="00D27FB4" w14:paraId="4911FFB7" w14:textId="77777777" w:rsidTr="00397E9C">
        <w:trPr>
          <w:trHeight w:val="661"/>
        </w:trPr>
        <w:tc>
          <w:tcPr>
            <w:tcW w:w="2999" w:type="dxa"/>
          </w:tcPr>
          <w:p w14:paraId="5CC13EDD" w14:textId="0E4A59A3" w:rsidR="00487ED7" w:rsidRPr="00397E9C" w:rsidRDefault="00487ED7">
            <w:pPr>
              <w:jc w:val="both"/>
              <w:rPr>
                <w:iCs/>
                <w:sz w:val="20"/>
                <w:szCs w:val="20"/>
                <w:lang w:val="en-US"/>
              </w:rPr>
            </w:pPr>
            <w:r w:rsidRPr="00397E9C">
              <w:rPr>
                <w:iCs/>
                <w:sz w:val="20"/>
                <w:szCs w:val="20"/>
                <w:lang w:val="en-US"/>
              </w:rPr>
              <w:t xml:space="preserve">Self-assessed problem gaming </w:t>
            </w:r>
          </w:p>
        </w:tc>
        <w:tc>
          <w:tcPr>
            <w:tcW w:w="2999" w:type="dxa"/>
          </w:tcPr>
          <w:p w14:paraId="7C957CFF" w14:textId="7543D2A0" w:rsidR="00487ED7" w:rsidRPr="00397E9C" w:rsidRDefault="0081637B">
            <w:pPr>
              <w:jc w:val="both"/>
              <w:rPr>
                <w:iCs/>
                <w:sz w:val="20"/>
                <w:szCs w:val="20"/>
                <w:lang w:val="en-US"/>
              </w:rPr>
            </w:pPr>
            <w:r>
              <w:rPr>
                <w:iCs/>
                <w:sz w:val="20"/>
                <w:szCs w:val="20"/>
                <w:lang w:val="en-US"/>
              </w:rPr>
              <w:t>P</w:t>
            </w:r>
            <w:r w:rsidR="00487ED7" w:rsidRPr="00397E9C">
              <w:rPr>
                <w:iCs/>
                <w:sz w:val="20"/>
                <w:szCs w:val="20"/>
                <w:lang w:val="en-US"/>
              </w:rPr>
              <w:t xml:space="preserve">roblem gaming test (THL1), </w:t>
            </w:r>
            <w:r w:rsidR="00397E9C" w:rsidRPr="00397E9C">
              <w:rPr>
                <w:iCs/>
                <w:sz w:val="20"/>
                <w:szCs w:val="20"/>
                <w:lang w:val="en-US"/>
              </w:rPr>
              <w:t>Salonen &amp; Raisamo (2015).</w:t>
            </w:r>
          </w:p>
        </w:tc>
        <w:tc>
          <w:tcPr>
            <w:tcW w:w="3000" w:type="dxa"/>
          </w:tcPr>
          <w:p w14:paraId="0DE9453D" w14:textId="72B0BA3D" w:rsidR="00487ED7" w:rsidRPr="00397E9C" w:rsidRDefault="0081637B">
            <w:pPr>
              <w:jc w:val="both"/>
              <w:rPr>
                <w:iCs/>
                <w:sz w:val="20"/>
                <w:szCs w:val="20"/>
                <w:lang w:val="en-US"/>
              </w:rPr>
            </w:pPr>
            <w:r>
              <w:rPr>
                <w:iCs/>
                <w:sz w:val="20"/>
                <w:szCs w:val="20"/>
                <w:lang w:val="en-US"/>
              </w:rPr>
              <w:t xml:space="preserve">1-item measure on scale 1–4, cutoff by </w:t>
            </w:r>
            <w:r w:rsidR="007E4217">
              <w:rPr>
                <w:iCs/>
                <w:sz w:val="20"/>
                <w:szCs w:val="20"/>
                <w:lang w:val="en-US"/>
              </w:rPr>
              <w:t xml:space="preserve">score </w:t>
            </w:r>
            <w:r w:rsidR="00283369">
              <w:rPr>
                <w:iCs/>
                <w:sz w:val="20"/>
                <w:szCs w:val="20"/>
                <w:lang w:val="en-US"/>
              </w:rPr>
              <w:t>¾</w:t>
            </w:r>
          </w:p>
        </w:tc>
      </w:tr>
      <w:tr w:rsidR="004A53A1" w14:paraId="505D4AEA" w14:textId="77777777" w:rsidTr="00393391">
        <w:trPr>
          <w:trHeight w:val="281"/>
        </w:trPr>
        <w:tc>
          <w:tcPr>
            <w:tcW w:w="8998" w:type="dxa"/>
            <w:gridSpan w:val="3"/>
          </w:tcPr>
          <w:p w14:paraId="0BB24066" w14:textId="4EF7FAFA" w:rsidR="004A53A1" w:rsidRPr="0077445E" w:rsidRDefault="004A53A1" w:rsidP="00393391">
            <w:pPr>
              <w:jc w:val="center"/>
              <w:rPr>
                <w:i/>
                <w:sz w:val="20"/>
                <w:szCs w:val="20"/>
                <w:lang w:val="en-US"/>
              </w:rPr>
            </w:pPr>
            <w:r w:rsidRPr="0077445E">
              <w:rPr>
                <w:i/>
                <w:sz w:val="20"/>
                <w:szCs w:val="20"/>
                <w:lang w:val="en-US"/>
              </w:rPr>
              <w:t>G</w:t>
            </w:r>
            <w:r>
              <w:rPr>
                <w:i/>
                <w:sz w:val="20"/>
                <w:szCs w:val="20"/>
                <w:lang w:val="en-US"/>
              </w:rPr>
              <w:t>eneral h</w:t>
            </w:r>
            <w:r w:rsidRPr="0077445E">
              <w:rPr>
                <w:i/>
                <w:sz w:val="20"/>
                <w:szCs w:val="20"/>
                <w:lang w:val="en-US"/>
              </w:rPr>
              <w:t xml:space="preserve">ealth </w:t>
            </w:r>
          </w:p>
        </w:tc>
      </w:tr>
      <w:tr w:rsidR="00487ED7" w:rsidRPr="00D27FB4" w14:paraId="23EFEE6D" w14:textId="77777777" w:rsidTr="00397E9C">
        <w:trPr>
          <w:trHeight w:val="661"/>
        </w:trPr>
        <w:tc>
          <w:tcPr>
            <w:tcW w:w="2999" w:type="dxa"/>
          </w:tcPr>
          <w:p w14:paraId="528BDF0E" w14:textId="1EDEB4E6" w:rsidR="00487ED7" w:rsidRPr="00397E9C" w:rsidRDefault="00397E9C">
            <w:pPr>
              <w:jc w:val="both"/>
              <w:rPr>
                <w:iCs/>
                <w:sz w:val="20"/>
                <w:szCs w:val="20"/>
                <w:lang w:val="en-US"/>
              </w:rPr>
            </w:pPr>
            <w:r w:rsidRPr="00397E9C">
              <w:rPr>
                <w:iCs/>
                <w:sz w:val="20"/>
                <w:szCs w:val="20"/>
                <w:lang w:val="en-US"/>
              </w:rPr>
              <w:t>General Mental Health</w:t>
            </w:r>
          </w:p>
        </w:tc>
        <w:tc>
          <w:tcPr>
            <w:tcW w:w="2999" w:type="dxa"/>
          </w:tcPr>
          <w:p w14:paraId="5AF8F22D" w14:textId="3F272C77" w:rsidR="00487ED7" w:rsidRPr="00397E9C" w:rsidRDefault="00397E9C">
            <w:pPr>
              <w:jc w:val="both"/>
              <w:rPr>
                <w:iCs/>
                <w:sz w:val="20"/>
                <w:szCs w:val="20"/>
                <w:lang w:val="en-US"/>
              </w:rPr>
            </w:pPr>
            <w:r w:rsidRPr="00397E9C">
              <w:rPr>
                <w:iCs/>
                <w:sz w:val="20"/>
                <w:szCs w:val="20"/>
                <w:lang w:val="en-US"/>
              </w:rPr>
              <w:t>PROMIS General Mental Health (GMH-2), Hays et al. (2017).</w:t>
            </w:r>
          </w:p>
        </w:tc>
        <w:tc>
          <w:tcPr>
            <w:tcW w:w="3000" w:type="dxa"/>
          </w:tcPr>
          <w:p w14:paraId="1B6F9D3D" w14:textId="20367C70" w:rsidR="00487ED7" w:rsidRPr="00397E9C" w:rsidRDefault="0081637B">
            <w:pPr>
              <w:jc w:val="both"/>
              <w:rPr>
                <w:iCs/>
                <w:sz w:val="20"/>
                <w:szCs w:val="20"/>
                <w:lang w:val="en-US"/>
              </w:rPr>
            </w:pPr>
            <w:r>
              <w:rPr>
                <w:iCs/>
                <w:sz w:val="20"/>
                <w:szCs w:val="20"/>
                <w:lang w:val="en-US"/>
              </w:rPr>
              <w:t xml:space="preserve">In US national </w:t>
            </w:r>
            <w:r w:rsidR="004A53A1">
              <w:rPr>
                <w:iCs/>
                <w:sz w:val="20"/>
                <w:szCs w:val="20"/>
                <w:lang w:val="en-US"/>
              </w:rPr>
              <w:t>standards, less than</w:t>
            </w:r>
            <w:r>
              <w:rPr>
                <w:iCs/>
                <w:sz w:val="20"/>
                <w:szCs w:val="20"/>
                <w:lang w:val="en-US"/>
              </w:rPr>
              <w:t xml:space="preserve"> 28</w:t>
            </w:r>
            <w:r w:rsidR="004A53A1">
              <w:rPr>
                <w:iCs/>
                <w:sz w:val="20"/>
                <w:szCs w:val="20"/>
                <w:lang w:val="en-US"/>
              </w:rPr>
              <w:t xml:space="preserve"> </w:t>
            </w:r>
            <w:r>
              <w:rPr>
                <w:iCs/>
                <w:sz w:val="20"/>
                <w:szCs w:val="20"/>
                <w:lang w:val="en-US"/>
              </w:rPr>
              <w:t>=</w:t>
            </w:r>
            <w:r w:rsidR="004A53A1">
              <w:rPr>
                <w:iCs/>
                <w:sz w:val="20"/>
                <w:szCs w:val="20"/>
                <w:lang w:val="en-US"/>
              </w:rPr>
              <w:t xml:space="preserve"> </w:t>
            </w:r>
            <w:r>
              <w:rPr>
                <w:iCs/>
                <w:sz w:val="20"/>
                <w:szCs w:val="20"/>
                <w:lang w:val="en-US"/>
              </w:rPr>
              <w:t xml:space="preserve">poor, </w:t>
            </w:r>
            <w:r w:rsidR="004A53A1">
              <w:rPr>
                <w:iCs/>
                <w:sz w:val="20"/>
                <w:szCs w:val="20"/>
                <w:lang w:val="en-US"/>
              </w:rPr>
              <w:t>more than 56 = excellent</w:t>
            </w:r>
          </w:p>
        </w:tc>
      </w:tr>
      <w:tr w:rsidR="00487ED7" w:rsidRPr="00D27FB4" w14:paraId="6C0714AA" w14:textId="77777777" w:rsidTr="00397E9C">
        <w:trPr>
          <w:trHeight w:val="661"/>
        </w:trPr>
        <w:tc>
          <w:tcPr>
            <w:tcW w:w="2999" w:type="dxa"/>
          </w:tcPr>
          <w:p w14:paraId="469A8717" w14:textId="2F9875AA" w:rsidR="00487ED7" w:rsidRPr="00397E9C" w:rsidRDefault="00397E9C">
            <w:pPr>
              <w:jc w:val="both"/>
              <w:rPr>
                <w:iCs/>
                <w:sz w:val="20"/>
                <w:szCs w:val="20"/>
                <w:lang w:val="en-US"/>
              </w:rPr>
            </w:pPr>
            <w:r w:rsidRPr="00397E9C">
              <w:rPr>
                <w:iCs/>
                <w:sz w:val="20"/>
                <w:szCs w:val="20"/>
                <w:lang w:val="en-US"/>
              </w:rPr>
              <w:t>General Physical Health</w:t>
            </w:r>
          </w:p>
        </w:tc>
        <w:tc>
          <w:tcPr>
            <w:tcW w:w="2999" w:type="dxa"/>
          </w:tcPr>
          <w:p w14:paraId="313D5FBD" w14:textId="0D1114CB" w:rsidR="00487ED7" w:rsidRPr="00397E9C" w:rsidRDefault="00397E9C">
            <w:pPr>
              <w:jc w:val="both"/>
              <w:rPr>
                <w:iCs/>
                <w:sz w:val="20"/>
                <w:szCs w:val="20"/>
                <w:lang w:val="en-US"/>
              </w:rPr>
            </w:pPr>
            <w:r w:rsidRPr="00397E9C">
              <w:rPr>
                <w:iCs/>
                <w:sz w:val="20"/>
                <w:szCs w:val="20"/>
                <w:lang w:val="en-US"/>
              </w:rPr>
              <w:t>PROMIS General Physical Health (GPH-2), Hays et al. (2017)</w:t>
            </w:r>
          </w:p>
        </w:tc>
        <w:tc>
          <w:tcPr>
            <w:tcW w:w="3000" w:type="dxa"/>
          </w:tcPr>
          <w:p w14:paraId="1A8E9C18" w14:textId="1425A06E" w:rsidR="00487ED7" w:rsidRPr="00397E9C" w:rsidRDefault="004A53A1">
            <w:pPr>
              <w:jc w:val="both"/>
              <w:rPr>
                <w:iCs/>
                <w:sz w:val="20"/>
                <w:szCs w:val="20"/>
                <w:lang w:val="en-US"/>
              </w:rPr>
            </w:pPr>
            <w:r>
              <w:rPr>
                <w:iCs/>
                <w:sz w:val="20"/>
                <w:szCs w:val="20"/>
                <w:lang w:val="en-US"/>
              </w:rPr>
              <w:t>In US national standards, less than 35 = poor, more than 58 = excellent</w:t>
            </w:r>
          </w:p>
        </w:tc>
      </w:tr>
      <w:tr w:rsidR="004A53A1" w:rsidRPr="00D27FB4" w14:paraId="11FFBC7C" w14:textId="77777777" w:rsidTr="00393391">
        <w:trPr>
          <w:trHeight w:val="281"/>
        </w:trPr>
        <w:tc>
          <w:tcPr>
            <w:tcW w:w="8998" w:type="dxa"/>
            <w:gridSpan w:val="3"/>
          </w:tcPr>
          <w:p w14:paraId="2B485C0A" w14:textId="2B87FF59" w:rsidR="004A53A1" w:rsidRPr="0077445E" w:rsidRDefault="00AE35DE" w:rsidP="00393391">
            <w:pPr>
              <w:jc w:val="center"/>
              <w:rPr>
                <w:i/>
                <w:sz w:val="20"/>
                <w:szCs w:val="20"/>
                <w:lang w:val="en-US"/>
              </w:rPr>
            </w:pPr>
            <w:r>
              <w:rPr>
                <w:i/>
                <w:sz w:val="20"/>
                <w:szCs w:val="20"/>
                <w:lang w:val="en-US"/>
              </w:rPr>
              <w:t>Additional</w:t>
            </w:r>
            <w:r w:rsidR="004A53A1">
              <w:rPr>
                <w:i/>
                <w:sz w:val="20"/>
                <w:szCs w:val="20"/>
                <w:lang w:val="en-US"/>
              </w:rPr>
              <w:t xml:space="preserve"> measures</w:t>
            </w:r>
            <w:r w:rsidR="004A53A1" w:rsidRPr="0077445E">
              <w:rPr>
                <w:i/>
                <w:sz w:val="20"/>
                <w:szCs w:val="20"/>
                <w:lang w:val="en-US"/>
              </w:rPr>
              <w:t xml:space="preserve"> </w:t>
            </w:r>
            <w:r>
              <w:rPr>
                <w:i/>
                <w:sz w:val="20"/>
                <w:szCs w:val="20"/>
                <w:lang w:val="en-US"/>
              </w:rPr>
              <w:t>(not used in this registered report)</w:t>
            </w:r>
          </w:p>
        </w:tc>
      </w:tr>
      <w:tr w:rsidR="004A53A1" w14:paraId="07C4B43A" w14:textId="77777777" w:rsidTr="00393391">
        <w:trPr>
          <w:trHeight w:val="661"/>
        </w:trPr>
        <w:tc>
          <w:tcPr>
            <w:tcW w:w="2999" w:type="dxa"/>
          </w:tcPr>
          <w:p w14:paraId="6A68CDB1" w14:textId="371163C9" w:rsidR="004A53A1" w:rsidRPr="00397E9C" w:rsidRDefault="004A53A1" w:rsidP="004A53A1">
            <w:pPr>
              <w:jc w:val="both"/>
              <w:rPr>
                <w:iCs/>
                <w:sz w:val="20"/>
                <w:szCs w:val="20"/>
                <w:lang w:val="en-US"/>
              </w:rPr>
            </w:pPr>
            <w:r w:rsidRPr="004A53A1">
              <w:rPr>
                <w:iCs/>
                <w:sz w:val="20"/>
                <w:szCs w:val="20"/>
                <w:lang w:val="en-US"/>
              </w:rPr>
              <w:t>Work ability</w:t>
            </w:r>
          </w:p>
        </w:tc>
        <w:tc>
          <w:tcPr>
            <w:tcW w:w="2999" w:type="dxa"/>
          </w:tcPr>
          <w:p w14:paraId="51A7E14E" w14:textId="4FCB52E4" w:rsidR="004A53A1" w:rsidRPr="00397E9C" w:rsidRDefault="004A53A1" w:rsidP="004A53A1">
            <w:pPr>
              <w:jc w:val="both"/>
              <w:rPr>
                <w:iCs/>
                <w:sz w:val="20"/>
                <w:szCs w:val="20"/>
                <w:lang w:val="en-US"/>
              </w:rPr>
            </w:pPr>
            <w:r>
              <w:rPr>
                <w:iCs/>
                <w:sz w:val="20"/>
                <w:szCs w:val="20"/>
                <w:lang w:val="en-US"/>
              </w:rPr>
              <w:t>Work ability index short form (WAI), Ilmarinen (2007)</w:t>
            </w:r>
          </w:p>
        </w:tc>
        <w:tc>
          <w:tcPr>
            <w:tcW w:w="3000" w:type="dxa"/>
          </w:tcPr>
          <w:p w14:paraId="307B5DA8" w14:textId="74603DFC" w:rsidR="004A53A1" w:rsidRPr="00397E9C" w:rsidRDefault="004A53A1" w:rsidP="004A53A1">
            <w:pPr>
              <w:jc w:val="both"/>
              <w:rPr>
                <w:iCs/>
                <w:sz w:val="20"/>
                <w:szCs w:val="20"/>
                <w:lang w:val="en-US"/>
              </w:rPr>
            </w:pPr>
            <w:r>
              <w:rPr>
                <w:iCs/>
                <w:sz w:val="20"/>
                <w:szCs w:val="20"/>
                <w:lang w:val="en-US"/>
              </w:rPr>
              <w:t xml:space="preserve">1-item measure on scale 0–10 </w:t>
            </w:r>
          </w:p>
        </w:tc>
      </w:tr>
      <w:tr w:rsidR="00AE35DE" w14:paraId="5998B3A8" w14:textId="77777777" w:rsidTr="00393391">
        <w:trPr>
          <w:trHeight w:val="661"/>
        </w:trPr>
        <w:tc>
          <w:tcPr>
            <w:tcW w:w="2999" w:type="dxa"/>
          </w:tcPr>
          <w:p w14:paraId="0C3C0DF8" w14:textId="45741E12" w:rsidR="00AE35DE" w:rsidRPr="00397E9C" w:rsidRDefault="00AE35DE" w:rsidP="00393391">
            <w:pPr>
              <w:jc w:val="both"/>
              <w:rPr>
                <w:iCs/>
                <w:sz w:val="20"/>
                <w:szCs w:val="20"/>
                <w:lang w:val="en-US"/>
              </w:rPr>
            </w:pPr>
            <w:r w:rsidRPr="004A53A1">
              <w:rPr>
                <w:iCs/>
                <w:sz w:val="20"/>
                <w:szCs w:val="20"/>
                <w:lang w:val="en-US"/>
              </w:rPr>
              <w:t xml:space="preserve">Work </w:t>
            </w:r>
            <w:r>
              <w:rPr>
                <w:iCs/>
                <w:sz w:val="20"/>
                <w:szCs w:val="20"/>
                <w:lang w:val="en-US"/>
              </w:rPr>
              <w:t>recovery</w:t>
            </w:r>
          </w:p>
        </w:tc>
        <w:tc>
          <w:tcPr>
            <w:tcW w:w="2999" w:type="dxa"/>
          </w:tcPr>
          <w:p w14:paraId="76F09525" w14:textId="78BD5AC2" w:rsidR="00AE35DE" w:rsidRPr="00397E9C" w:rsidRDefault="00AE35DE" w:rsidP="00393391">
            <w:pPr>
              <w:jc w:val="both"/>
              <w:rPr>
                <w:iCs/>
                <w:sz w:val="20"/>
                <w:szCs w:val="20"/>
                <w:lang w:val="en-US"/>
              </w:rPr>
            </w:pPr>
            <w:r>
              <w:rPr>
                <w:iCs/>
                <w:sz w:val="20"/>
                <w:szCs w:val="20"/>
                <w:lang w:val="en-US"/>
              </w:rPr>
              <w:t xml:space="preserve">Work recovery question (WR), </w:t>
            </w:r>
            <w:proofErr w:type="spellStart"/>
            <w:r>
              <w:rPr>
                <w:iCs/>
                <w:sz w:val="20"/>
                <w:szCs w:val="20"/>
                <w:lang w:val="en-US"/>
              </w:rPr>
              <w:t>Mauno</w:t>
            </w:r>
            <w:proofErr w:type="spellEnd"/>
            <w:r w:rsidR="006910EE">
              <w:rPr>
                <w:iCs/>
                <w:sz w:val="20"/>
                <w:szCs w:val="20"/>
                <w:lang w:val="en-US"/>
              </w:rPr>
              <w:t xml:space="preserve"> et al.</w:t>
            </w:r>
            <w:r>
              <w:rPr>
                <w:iCs/>
                <w:sz w:val="20"/>
                <w:szCs w:val="20"/>
                <w:lang w:val="en-US"/>
              </w:rPr>
              <w:t xml:space="preserve"> (20</w:t>
            </w:r>
            <w:r w:rsidR="006910EE">
              <w:rPr>
                <w:iCs/>
                <w:sz w:val="20"/>
                <w:szCs w:val="20"/>
                <w:lang w:val="en-US"/>
              </w:rPr>
              <w:t>17</w:t>
            </w:r>
            <w:r>
              <w:rPr>
                <w:iCs/>
                <w:sz w:val="20"/>
                <w:szCs w:val="20"/>
                <w:lang w:val="en-US"/>
              </w:rPr>
              <w:t>)</w:t>
            </w:r>
          </w:p>
        </w:tc>
        <w:tc>
          <w:tcPr>
            <w:tcW w:w="3000" w:type="dxa"/>
          </w:tcPr>
          <w:p w14:paraId="0696932C" w14:textId="75672898" w:rsidR="00AE35DE" w:rsidRPr="00397E9C" w:rsidRDefault="00AE35DE" w:rsidP="00393391">
            <w:pPr>
              <w:jc w:val="both"/>
              <w:rPr>
                <w:iCs/>
                <w:sz w:val="20"/>
                <w:szCs w:val="20"/>
                <w:lang w:val="en-US"/>
              </w:rPr>
            </w:pPr>
            <w:r>
              <w:rPr>
                <w:iCs/>
                <w:sz w:val="20"/>
                <w:szCs w:val="20"/>
                <w:lang w:val="en-US"/>
              </w:rPr>
              <w:t xml:space="preserve">1-item measure on scale 1–5 </w:t>
            </w:r>
          </w:p>
        </w:tc>
      </w:tr>
      <w:tr w:rsidR="004A53A1" w14:paraId="6D2E4D98" w14:textId="77777777" w:rsidTr="00393391">
        <w:trPr>
          <w:trHeight w:val="661"/>
        </w:trPr>
        <w:tc>
          <w:tcPr>
            <w:tcW w:w="2999" w:type="dxa"/>
          </w:tcPr>
          <w:p w14:paraId="2042BF68" w14:textId="1928F5D6" w:rsidR="004A53A1" w:rsidRPr="00397E9C" w:rsidRDefault="004A53A1" w:rsidP="004A53A1">
            <w:pPr>
              <w:jc w:val="both"/>
              <w:rPr>
                <w:iCs/>
                <w:sz w:val="20"/>
                <w:szCs w:val="20"/>
                <w:lang w:val="en-US"/>
              </w:rPr>
            </w:pPr>
            <w:r>
              <w:rPr>
                <w:iCs/>
                <w:sz w:val="20"/>
                <w:szCs w:val="20"/>
                <w:lang w:val="en-US"/>
              </w:rPr>
              <w:t>Perceived loneliness</w:t>
            </w:r>
          </w:p>
        </w:tc>
        <w:tc>
          <w:tcPr>
            <w:tcW w:w="2999" w:type="dxa"/>
          </w:tcPr>
          <w:p w14:paraId="3BB5C44F" w14:textId="40E62FB9" w:rsidR="004A53A1" w:rsidRPr="00397E9C" w:rsidRDefault="004A53A1" w:rsidP="004A53A1">
            <w:pPr>
              <w:jc w:val="both"/>
              <w:rPr>
                <w:iCs/>
                <w:sz w:val="20"/>
                <w:szCs w:val="20"/>
                <w:lang w:val="en-US"/>
              </w:rPr>
            </w:pPr>
            <w:r>
              <w:rPr>
                <w:iCs/>
                <w:sz w:val="20"/>
                <w:szCs w:val="20"/>
                <w:lang w:val="en-US"/>
              </w:rPr>
              <w:t xml:space="preserve">Perceived loneliness (PL), </w:t>
            </w:r>
            <w:proofErr w:type="spellStart"/>
            <w:r>
              <w:rPr>
                <w:iCs/>
                <w:sz w:val="20"/>
                <w:szCs w:val="20"/>
                <w:lang w:val="en-US"/>
              </w:rPr>
              <w:t>Tilvis</w:t>
            </w:r>
            <w:proofErr w:type="spellEnd"/>
            <w:r>
              <w:rPr>
                <w:iCs/>
                <w:sz w:val="20"/>
                <w:szCs w:val="20"/>
                <w:lang w:val="en-US"/>
              </w:rPr>
              <w:t xml:space="preserve"> et al. (2000)</w:t>
            </w:r>
          </w:p>
        </w:tc>
        <w:tc>
          <w:tcPr>
            <w:tcW w:w="3000" w:type="dxa"/>
          </w:tcPr>
          <w:p w14:paraId="4738E822" w14:textId="04BC3E73" w:rsidR="004A53A1" w:rsidRPr="00397E9C" w:rsidRDefault="004A53A1" w:rsidP="004A53A1">
            <w:pPr>
              <w:jc w:val="both"/>
              <w:rPr>
                <w:iCs/>
                <w:sz w:val="20"/>
                <w:szCs w:val="20"/>
                <w:lang w:val="en-US"/>
              </w:rPr>
            </w:pPr>
            <w:r>
              <w:rPr>
                <w:iCs/>
                <w:sz w:val="20"/>
                <w:szCs w:val="20"/>
                <w:lang w:val="en-US"/>
              </w:rPr>
              <w:t>1-item measure on scale 1–3</w:t>
            </w:r>
          </w:p>
        </w:tc>
      </w:tr>
      <w:tr w:rsidR="004A53A1" w:rsidRPr="00D27FB4" w14:paraId="226D9185" w14:textId="77777777" w:rsidTr="00397E9C">
        <w:trPr>
          <w:trHeight w:val="661"/>
        </w:trPr>
        <w:tc>
          <w:tcPr>
            <w:tcW w:w="2999" w:type="dxa"/>
          </w:tcPr>
          <w:p w14:paraId="66B0B6B1" w14:textId="1B2A88BD" w:rsidR="004A53A1" w:rsidRPr="004A53A1" w:rsidRDefault="004A53A1" w:rsidP="004A53A1">
            <w:pPr>
              <w:jc w:val="both"/>
              <w:rPr>
                <w:iCs/>
                <w:sz w:val="20"/>
                <w:szCs w:val="20"/>
                <w:lang w:val="en-US"/>
              </w:rPr>
            </w:pPr>
            <w:r>
              <w:rPr>
                <w:iCs/>
                <w:sz w:val="20"/>
                <w:szCs w:val="20"/>
                <w:lang w:val="en-US"/>
              </w:rPr>
              <w:t>Pathological gambling</w:t>
            </w:r>
          </w:p>
        </w:tc>
        <w:tc>
          <w:tcPr>
            <w:tcW w:w="2999" w:type="dxa"/>
          </w:tcPr>
          <w:p w14:paraId="245D84BC" w14:textId="6C4BD242" w:rsidR="004A53A1" w:rsidRPr="004A53A1" w:rsidRDefault="007E4217" w:rsidP="004A53A1">
            <w:pPr>
              <w:jc w:val="both"/>
              <w:rPr>
                <w:iCs/>
                <w:sz w:val="20"/>
                <w:szCs w:val="20"/>
                <w:lang w:val="en-US"/>
              </w:rPr>
            </w:pPr>
            <w:r>
              <w:rPr>
                <w:iCs/>
                <w:sz w:val="20"/>
                <w:szCs w:val="20"/>
                <w:lang w:val="en-US"/>
              </w:rPr>
              <w:t xml:space="preserve">BBDS, Salonen &amp; Raisamo (2015) from </w:t>
            </w:r>
            <w:proofErr w:type="spellStart"/>
            <w:r>
              <w:rPr>
                <w:iCs/>
                <w:sz w:val="20"/>
                <w:szCs w:val="20"/>
                <w:lang w:val="en-US"/>
              </w:rPr>
              <w:t>Gebauer</w:t>
            </w:r>
            <w:proofErr w:type="spellEnd"/>
            <w:r>
              <w:rPr>
                <w:iCs/>
                <w:sz w:val="20"/>
                <w:szCs w:val="20"/>
                <w:lang w:val="en-US"/>
              </w:rPr>
              <w:t xml:space="preserve"> et al. (2010)</w:t>
            </w:r>
          </w:p>
        </w:tc>
        <w:tc>
          <w:tcPr>
            <w:tcW w:w="3000" w:type="dxa"/>
          </w:tcPr>
          <w:p w14:paraId="32B9F15F" w14:textId="039B45FB" w:rsidR="004A53A1" w:rsidRPr="004A53A1" w:rsidRDefault="007E4217" w:rsidP="004A53A1">
            <w:pPr>
              <w:jc w:val="both"/>
              <w:rPr>
                <w:iCs/>
                <w:sz w:val="20"/>
                <w:szCs w:val="20"/>
                <w:lang w:val="en-US"/>
              </w:rPr>
            </w:pPr>
            <w:r>
              <w:rPr>
                <w:iCs/>
                <w:sz w:val="20"/>
                <w:szCs w:val="20"/>
                <w:lang w:val="en-US"/>
              </w:rPr>
              <w:t>3-item measure on scale 1–2, polythetic cutoff 1/3 by score 2/2</w:t>
            </w:r>
          </w:p>
        </w:tc>
      </w:tr>
    </w:tbl>
    <w:p w14:paraId="6FD5205C" w14:textId="1E680AF6" w:rsidR="00E80CAF" w:rsidRDefault="00E80CAF" w:rsidP="00E80CAF">
      <w:pPr>
        <w:jc w:val="both"/>
        <w:rPr>
          <w:lang w:val="en-US"/>
        </w:rPr>
      </w:pPr>
      <w:r>
        <w:rPr>
          <w:b/>
          <w:bCs/>
          <w:sz w:val="18"/>
          <w:szCs w:val="18"/>
          <w:lang w:val="en-US"/>
        </w:rPr>
        <w:t>Table 2</w:t>
      </w:r>
      <w:r>
        <w:rPr>
          <w:sz w:val="18"/>
          <w:szCs w:val="18"/>
          <w:lang w:val="en-US"/>
        </w:rPr>
        <w:t xml:space="preserve">. </w:t>
      </w:r>
      <w:r w:rsidR="00AE35DE">
        <w:rPr>
          <w:sz w:val="18"/>
          <w:szCs w:val="18"/>
          <w:lang w:val="en-US"/>
        </w:rPr>
        <w:t>All m</w:t>
      </w:r>
      <w:r>
        <w:rPr>
          <w:sz w:val="18"/>
          <w:szCs w:val="18"/>
          <w:lang w:val="en-US"/>
        </w:rPr>
        <w:t>easures.</w:t>
      </w:r>
    </w:p>
    <w:p w14:paraId="478668DB" w14:textId="77777777" w:rsidR="00487ED7" w:rsidRDefault="00487ED7">
      <w:pPr>
        <w:jc w:val="both"/>
        <w:rPr>
          <w:i/>
          <w:lang w:val="en-US"/>
        </w:rPr>
      </w:pPr>
    </w:p>
    <w:p w14:paraId="6A19249A" w14:textId="4909FD5C" w:rsidR="00184873" w:rsidRDefault="00184873">
      <w:pPr>
        <w:jc w:val="both"/>
        <w:rPr>
          <w:ins w:id="35" w:author="Karhulahti, Veli-Matti" w:date="2022-01-17T22:26:00Z"/>
          <w:b/>
          <w:bCs/>
          <w:i/>
          <w:lang w:val="en-US"/>
        </w:rPr>
      </w:pPr>
    </w:p>
    <w:p w14:paraId="1F4992DB" w14:textId="77777777" w:rsidR="005C2D33" w:rsidRDefault="005C2D33">
      <w:pPr>
        <w:jc w:val="both"/>
        <w:rPr>
          <w:ins w:id="36" w:author="Karhulahti, Veli-Matti" w:date="2022-01-17T22:20:00Z"/>
          <w:b/>
          <w:bCs/>
          <w:i/>
          <w:lang w:val="en-US"/>
        </w:rPr>
      </w:pPr>
    </w:p>
    <w:p w14:paraId="12B415EA" w14:textId="07051C3E" w:rsidR="00CE6598" w:rsidRDefault="00836E32">
      <w:pPr>
        <w:jc w:val="both"/>
        <w:rPr>
          <w:b/>
          <w:bCs/>
          <w:i/>
          <w:lang w:val="en-US"/>
        </w:rPr>
      </w:pPr>
      <w:r>
        <w:rPr>
          <w:b/>
          <w:bCs/>
          <w:i/>
          <w:lang w:val="en-US"/>
        </w:rPr>
        <w:lastRenderedPageBreak/>
        <w:t>References</w:t>
      </w:r>
    </w:p>
    <w:p w14:paraId="21B96556" w14:textId="77777777" w:rsidR="00CE6598" w:rsidRDefault="00CE6598">
      <w:pPr>
        <w:jc w:val="both"/>
        <w:rPr>
          <w:i/>
          <w:lang w:val="en-US"/>
        </w:rPr>
      </w:pPr>
    </w:p>
    <w:p w14:paraId="7ADC9862" w14:textId="77777777" w:rsidR="00D52C94" w:rsidRPr="00372958" w:rsidRDefault="00D52C94" w:rsidP="00D52C94">
      <w:pPr>
        <w:jc w:val="both"/>
        <w:rPr>
          <w:lang w:val="en-US"/>
        </w:rPr>
      </w:pPr>
      <w:r w:rsidRPr="00372958">
        <w:rPr>
          <w:lang w:val="en-US"/>
        </w:rPr>
        <w:t xml:space="preserve">Berwick, D. M., Murphy, J. M., Goldman, P. A., Ware Jr, J. E., Barsky, A. J., &amp; Weinstein, M. C. (1991). Per- </w:t>
      </w:r>
      <w:proofErr w:type="spellStart"/>
      <w:r w:rsidRPr="00372958">
        <w:rPr>
          <w:lang w:val="en-US"/>
        </w:rPr>
        <w:t>formance</w:t>
      </w:r>
      <w:proofErr w:type="spellEnd"/>
      <w:r w:rsidRPr="00372958">
        <w:rPr>
          <w:lang w:val="en-US"/>
        </w:rPr>
        <w:t xml:space="preserve"> of a five-item mental health screening test. Medical care, 169–176. </w:t>
      </w:r>
    </w:p>
    <w:p w14:paraId="607157FA" w14:textId="603AD6D6" w:rsidR="00CE6598" w:rsidRDefault="00836E32">
      <w:pPr>
        <w:jc w:val="both"/>
        <w:rPr>
          <w:lang w:val="en-US"/>
        </w:rPr>
      </w:pPr>
      <w:proofErr w:type="spellStart"/>
      <w:r>
        <w:rPr>
          <w:lang w:val="en-US"/>
        </w:rPr>
        <w:t>Fornell</w:t>
      </w:r>
      <w:proofErr w:type="spellEnd"/>
      <w:r>
        <w:rPr>
          <w:lang w:val="en-US"/>
        </w:rPr>
        <w:t xml:space="preserve">, C., &amp; </w:t>
      </w:r>
      <w:proofErr w:type="spellStart"/>
      <w:r>
        <w:rPr>
          <w:lang w:val="en-US"/>
        </w:rPr>
        <w:t>Larcker</w:t>
      </w:r>
      <w:proofErr w:type="spellEnd"/>
      <w:r>
        <w:rPr>
          <w:lang w:val="en-US"/>
        </w:rPr>
        <w:t xml:space="preserve">, D. F. (1981). Evaluating structural equation models with unobservable variables and measurement error. Journal of Marketing Research, 18(1), 39–50. </w:t>
      </w:r>
      <w:hyperlink r:id="rId22">
        <w:r>
          <w:rPr>
            <w:color w:val="1155CC"/>
            <w:u w:val="single"/>
            <w:lang w:val="en-US"/>
          </w:rPr>
          <w:t>https://doi.org/10.2307/3151312</w:t>
        </w:r>
      </w:hyperlink>
      <w:r>
        <w:rPr>
          <w:lang w:val="en-US"/>
        </w:rPr>
        <w:t>.</w:t>
      </w:r>
    </w:p>
    <w:p w14:paraId="4C50AE9A" w14:textId="442D936F" w:rsidR="00D31A77" w:rsidRPr="00372958" w:rsidRDefault="00D31A77">
      <w:pPr>
        <w:jc w:val="both"/>
        <w:rPr>
          <w:lang w:val="en-US"/>
        </w:rPr>
      </w:pPr>
      <w:proofErr w:type="spellStart"/>
      <w:r w:rsidRPr="00372958">
        <w:rPr>
          <w:lang w:val="en-US"/>
        </w:rPr>
        <w:t>Gebauer</w:t>
      </w:r>
      <w:proofErr w:type="spellEnd"/>
      <w:r w:rsidRPr="00372958">
        <w:rPr>
          <w:lang w:val="en-US"/>
        </w:rPr>
        <w:t xml:space="preserve"> L, LaBrie R, Shaffer HJ. Optimizing DSM-IV-TR Classification accuracy: A brief Biosocial Screen for Detecting Current gambling Disorders Among Gamblers in the General Household Population. The Canadian Journal of Psychiatry 2010; 55(2): 82-90. </w:t>
      </w:r>
    </w:p>
    <w:p w14:paraId="7748F373" w14:textId="77777777" w:rsidR="00CE6598" w:rsidRDefault="00836E32">
      <w:pPr>
        <w:jc w:val="both"/>
        <w:rPr>
          <w:lang w:val="en-US"/>
        </w:rPr>
      </w:pPr>
      <w:r>
        <w:rPr>
          <w:lang w:val="en-US"/>
        </w:rPr>
        <w:t xml:space="preserve">Hays, R. D., </w:t>
      </w:r>
      <w:proofErr w:type="spellStart"/>
      <w:r>
        <w:rPr>
          <w:lang w:val="en-US"/>
        </w:rPr>
        <w:t>Schalet</w:t>
      </w:r>
      <w:proofErr w:type="spellEnd"/>
      <w:r>
        <w:rPr>
          <w:lang w:val="en-US"/>
        </w:rPr>
        <w:t xml:space="preserve">, B. D., Spritzer, K. L., &amp; </w:t>
      </w:r>
      <w:proofErr w:type="spellStart"/>
      <w:r>
        <w:rPr>
          <w:lang w:val="en-US"/>
        </w:rPr>
        <w:t>Cella</w:t>
      </w:r>
      <w:proofErr w:type="spellEnd"/>
      <w:r>
        <w:rPr>
          <w:lang w:val="en-US"/>
        </w:rPr>
        <w:t>, D. (2017). Two-item PROMIS® global physical and mental health scales. Journal of patient-reported outcomes, 1(1), 1-5.</w:t>
      </w:r>
    </w:p>
    <w:p w14:paraId="44B0769E" w14:textId="77777777" w:rsidR="00CE6598" w:rsidRDefault="00836E32">
      <w:pPr>
        <w:jc w:val="both"/>
        <w:rPr>
          <w:lang w:val="en-US"/>
        </w:rPr>
      </w:pPr>
      <w:r>
        <w:rPr>
          <w:lang w:val="en-US"/>
        </w:rPr>
        <w:t>Ilmarinen, J. (2007). The work ability index (WAI). </w:t>
      </w:r>
      <w:r>
        <w:rPr>
          <w:i/>
          <w:iCs/>
          <w:lang w:val="en-US"/>
        </w:rPr>
        <w:t>Occupational medicine</w:t>
      </w:r>
      <w:r>
        <w:rPr>
          <w:lang w:val="en-US"/>
        </w:rPr>
        <w:t>, </w:t>
      </w:r>
      <w:r>
        <w:rPr>
          <w:i/>
          <w:iCs/>
          <w:lang w:val="en-US"/>
        </w:rPr>
        <w:t>57</w:t>
      </w:r>
      <w:r>
        <w:rPr>
          <w:lang w:val="en-US"/>
        </w:rPr>
        <w:t>(2), 160-160.</w:t>
      </w:r>
    </w:p>
    <w:p w14:paraId="1AFA85C2" w14:textId="4002D5C3" w:rsidR="00A22BCC" w:rsidRDefault="00A22BCC">
      <w:pPr>
        <w:jc w:val="both"/>
      </w:pPr>
      <w:r w:rsidRPr="00AD0527">
        <w:rPr>
          <w:lang w:val="en-US"/>
        </w:rPr>
        <w:t xml:space="preserve">Karhulahti, V. M., &amp; Koskimaa, R. (2019). </w:t>
      </w:r>
      <w:r w:rsidRPr="00A22BCC">
        <w:rPr>
          <w:lang w:val="en-US"/>
        </w:rPr>
        <w:t xml:space="preserve">On the Prevalence of Addicted or Problematic Gaming in Finland. </w:t>
      </w:r>
      <w:r w:rsidRPr="0062532B">
        <w:rPr>
          <w:lang w:val="en-US"/>
        </w:rPr>
        <w:t>Addictive behaviors reports, 10, 100225.</w:t>
      </w:r>
    </w:p>
    <w:p w14:paraId="47CF6FEF" w14:textId="79D51B42" w:rsidR="006910EE" w:rsidRPr="00AD0527" w:rsidRDefault="006910EE" w:rsidP="00372958">
      <w:pPr>
        <w:suppressAutoHyphens/>
        <w:jc w:val="both"/>
      </w:pPr>
      <w:r w:rsidRPr="006910EE">
        <w:t>Mauno, S., Hirvonen, R., &amp; Kiuru, N. (2018). Children’s life satisfaction: The roles of mothers’ work engagement and recovery from work. </w:t>
      </w:r>
      <w:r w:rsidRPr="006910EE">
        <w:rPr>
          <w:i/>
          <w:iCs/>
        </w:rPr>
        <w:t>Journal of Happiness Studies</w:t>
      </w:r>
      <w:r w:rsidRPr="006910EE">
        <w:t>, </w:t>
      </w:r>
      <w:r w:rsidRPr="006910EE">
        <w:rPr>
          <w:i/>
          <w:iCs/>
        </w:rPr>
        <w:t>19</w:t>
      </w:r>
      <w:r w:rsidRPr="006910EE">
        <w:t>(5), 1373-1393.</w:t>
      </w:r>
    </w:p>
    <w:p w14:paraId="40C35E58" w14:textId="405864C4" w:rsidR="00CE6598" w:rsidRDefault="00836E32">
      <w:pPr>
        <w:jc w:val="both"/>
        <w:rPr>
          <w:lang w:val="en-US"/>
        </w:rPr>
      </w:pPr>
      <w:r w:rsidRPr="00220269">
        <w:rPr>
          <w:lang w:val="fi-FI"/>
        </w:rPr>
        <w:t xml:space="preserve">Männikkö, N., Billieux, J., &amp; Kääriäinen, M. (2015). </w:t>
      </w:r>
      <w:r>
        <w:rPr>
          <w:lang w:val="en-US"/>
        </w:rPr>
        <w:t xml:space="preserve">Problematic digital gaming behavior and its relation to the psychological, </w:t>
      </w:r>
      <w:proofErr w:type="gramStart"/>
      <w:r>
        <w:rPr>
          <w:lang w:val="en-US"/>
        </w:rPr>
        <w:t>social</w:t>
      </w:r>
      <w:proofErr w:type="gramEnd"/>
      <w:r>
        <w:rPr>
          <w:lang w:val="en-US"/>
        </w:rPr>
        <w:t xml:space="preserve"> and physical health of Finnish adolescents and young adults. Journal of behavioral addictions, 4(4), 281-288.</w:t>
      </w:r>
    </w:p>
    <w:p w14:paraId="220732BB" w14:textId="5DFB3A3F" w:rsidR="00CE6598" w:rsidRPr="00AF14E3" w:rsidRDefault="00836E32">
      <w:pPr>
        <w:jc w:val="both"/>
      </w:pPr>
      <w:r w:rsidRPr="00220269">
        <w:rPr>
          <w:lang w:val="fi-FI"/>
        </w:rPr>
        <w:t xml:space="preserve">Männikkö, N., Ruotsalainen, H., Tolvanen, A., &amp; Kääriäinen, M. (2019). </w:t>
      </w:r>
      <w:r>
        <w:rPr>
          <w:lang w:val="en-US"/>
        </w:rPr>
        <w:t xml:space="preserve">Psychometric properties of the Internet Gaming Disorder Test (IGDT‐10) and problematic gaming behavior among Finnish vocational school students. </w:t>
      </w:r>
      <w:proofErr w:type="spellStart"/>
      <w:r w:rsidRPr="00AF14E3">
        <w:rPr>
          <w:lang w:val="fi-FI"/>
        </w:rPr>
        <w:t>Scandinavian</w:t>
      </w:r>
      <w:proofErr w:type="spellEnd"/>
      <w:r w:rsidRPr="00AF14E3">
        <w:rPr>
          <w:lang w:val="fi-FI"/>
        </w:rPr>
        <w:t xml:space="preserve"> </w:t>
      </w:r>
      <w:proofErr w:type="spellStart"/>
      <w:r w:rsidRPr="00AF14E3">
        <w:rPr>
          <w:lang w:val="fi-FI"/>
        </w:rPr>
        <w:t>journal</w:t>
      </w:r>
      <w:proofErr w:type="spellEnd"/>
      <w:r w:rsidRPr="00AF14E3">
        <w:rPr>
          <w:lang w:val="fi-FI"/>
        </w:rPr>
        <w:t xml:space="preserve"> of </w:t>
      </w:r>
      <w:proofErr w:type="spellStart"/>
      <w:r w:rsidRPr="00AF14E3">
        <w:rPr>
          <w:lang w:val="fi-FI"/>
        </w:rPr>
        <w:t>psychology</w:t>
      </w:r>
      <w:proofErr w:type="spellEnd"/>
      <w:r w:rsidRPr="00AF14E3">
        <w:rPr>
          <w:lang w:val="fi-FI"/>
        </w:rPr>
        <w:t xml:space="preserve">, 60(3), </w:t>
      </w:r>
      <w:proofErr w:type="gramStart"/>
      <w:r w:rsidRPr="00AF14E3">
        <w:rPr>
          <w:lang w:val="fi-FI"/>
        </w:rPr>
        <w:t>252-260</w:t>
      </w:r>
      <w:proofErr w:type="gramEnd"/>
      <w:r w:rsidRPr="00AF14E3">
        <w:rPr>
          <w:lang w:val="fi-FI"/>
        </w:rPr>
        <w:t>.</w:t>
      </w:r>
    </w:p>
    <w:p w14:paraId="09F65CCE" w14:textId="153A5A04" w:rsidR="00D31A77" w:rsidRDefault="00D31A77">
      <w:pPr>
        <w:jc w:val="both"/>
        <w:rPr>
          <w:lang w:val="en-US"/>
        </w:rPr>
      </w:pPr>
      <w:r w:rsidRPr="00D31A77">
        <w:rPr>
          <w:lang w:val="fi-FI"/>
        </w:rPr>
        <w:t xml:space="preserve">Salonen, A. &amp; Raisamo, S. (2015) </w:t>
      </w:r>
      <w:r w:rsidRPr="00D31A77">
        <w:rPr>
          <w:i/>
          <w:lang w:val="fi-FI"/>
        </w:rPr>
        <w:t xml:space="preserve">Suomalaisten rahapelaaminen 2015: Rahapelaaminen, rahapeliongelmat ja rahapelaamiseen liittyvät asenteet ja mielipiteet </w:t>
      </w:r>
      <w:proofErr w:type="gramStart"/>
      <w:r w:rsidRPr="00D31A77">
        <w:rPr>
          <w:i/>
          <w:lang w:val="fi-FI"/>
        </w:rPr>
        <w:t>15-74</w:t>
      </w:r>
      <w:proofErr w:type="gramEnd"/>
      <w:r w:rsidRPr="00D31A77">
        <w:rPr>
          <w:i/>
          <w:lang w:val="fi-FI"/>
        </w:rPr>
        <w:t>-vuotiailla</w:t>
      </w:r>
      <w:r w:rsidRPr="00D31A77">
        <w:rPr>
          <w:lang w:val="fi-FI"/>
        </w:rPr>
        <w:t xml:space="preserve">. </w:t>
      </w:r>
      <w:r w:rsidRPr="00D31A77">
        <w:rPr>
          <w:lang w:val="en-US"/>
        </w:rPr>
        <w:t>Helsinki: THL.</w:t>
      </w:r>
    </w:p>
    <w:p w14:paraId="093204D5" w14:textId="498BDFB1" w:rsidR="00CE6598" w:rsidRDefault="00836E32">
      <w:pPr>
        <w:jc w:val="both"/>
      </w:pPr>
      <w:r>
        <w:rPr>
          <w:lang w:val="en-US"/>
        </w:rPr>
        <w:t xml:space="preserve">THL (2021) National PROMIS Centre. Finnish Institute for Health and Welfare. </w:t>
      </w:r>
      <w:hyperlink r:id="rId23">
        <w:r>
          <w:rPr>
            <w:color w:val="1155CC"/>
            <w:u w:val="single"/>
          </w:rPr>
          <w:t>https://thl.fi/fi/web/toimintakyky/toimintakyvyn-arviointi/kansallinen-promis-keskus</w:t>
        </w:r>
      </w:hyperlink>
      <w:r>
        <w:t xml:space="preserve"> </w:t>
      </w:r>
    </w:p>
    <w:p w14:paraId="16116D68" w14:textId="46A1121D" w:rsidR="00C7495D" w:rsidRPr="00372958" w:rsidRDefault="00C7495D">
      <w:pPr>
        <w:jc w:val="both"/>
        <w:rPr>
          <w:lang w:val="en-US"/>
        </w:rPr>
      </w:pPr>
      <w:r w:rsidRPr="00372958">
        <w:rPr>
          <w:lang w:val="en-US"/>
        </w:rPr>
        <w:t>THL &amp; Salonen, Anne (</w:t>
      </w:r>
      <w:r w:rsidRPr="00C7495D">
        <w:rPr>
          <w:lang w:val="en-US"/>
        </w:rPr>
        <w:t>National Health Institute</w:t>
      </w:r>
      <w:r w:rsidRPr="00372958">
        <w:rPr>
          <w:lang w:val="en-US"/>
        </w:rPr>
        <w:t xml:space="preserve">): </w:t>
      </w:r>
      <w:proofErr w:type="spellStart"/>
      <w:r w:rsidRPr="00372958">
        <w:rPr>
          <w:lang w:val="en-US"/>
        </w:rPr>
        <w:t>Rahapelitutkimus</w:t>
      </w:r>
      <w:proofErr w:type="spellEnd"/>
      <w:r w:rsidRPr="00372958">
        <w:rPr>
          <w:lang w:val="en-US"/>
        </w:rPr>
        <w:t xml:space="preserve"> 2019 [</w:t>
      </w:r>
      <w:r w:rsidRPr="00C7495D">
        <w:rPr>
          <w:lang w:val="en-US"/>
        </w:rPr>
        <w:t>electronic data]</w:t>
      </w:r>
      <w:r w:rsidRPr="00372958">
        <w:rPr>
          <w:lang w:val="en-US"/>
        </w:rPr>
        <w:t>. Versio</w:t>
      </w:r>
      <w:r w:rsidRPr="00C7495D">
        <w:rPr>
          <w:lang w:val="en-US"/>
        </w:rPr>
        <w:t>n</w:t>
      </w:r>
      <w:r w:rsidRPr="00372958">
        <w:rPr>
          <w:lang w:val="en-US"/>
        </w:rPr>
        <w:t xml:space="preserve"> 1.0 (2021-04-27). </w:t>
      </w:r>
      <w:r w:rsidRPr="00C7495D">
        <w:rPr>
          <w:lang w:val="en-US"/>
        </w:rPr>
        <w:t>Finnish Social Science Data Archive.</w:t>
      </w:r>
      <w:r w:rsidRPr="00372958">
        <w:rPr>
          <w:lang w:val="en-US"/>
        </w:rPr>
        <w:t xml:space="preserve"> </w:t>
      </w:r>
      <w:hyperlink r:id="rId24" w:history="1">
        <w:r w:rsidR="00283369" w:rsidRPr="00372958">
          <w:rPr>
            <w:rStyle w:val="Hyperlink"/>
            <w:lang w:val="en-US"/>
          </w:rPr>
          <w:t>http://urn</w:t>
        </w:r>
      </w:hyperlink>
      <w:r w:rsidRPr="00372958">
        <w:rPr>
          <w:lang w:val="en-US"/>
        </w:rPr>
        <w:t>.fi/</w:t>
      </w:r>
      <w:proofErr w:type="gramStart"/>
      <w:r w:rsidRPr="00372958">
        <w:rPr>
          <w:lang w:val="en-US"/>
        </w:rPr>
        <w:t>urn:nbn</w:t>
      </w:r>
      <w:proofErr w:type="gramEnd"/>
      <w:r w:rsidRPr="00372958">
        <w:rPr>
          <w:lang w:val="en-US"/>
        </w:rPr>
        <w:t xml:space="preserve">:fi:fsd:T- FSD3522 </w:t>
      </w:r>
    </w:p>
    <w:p w14:paraId="4201BBFD" w14:textId="672D013B" w:rsidR="00A12167" w:rsidRDefault="00D31A77">
      <w:pPr>
        <w:jc w:val="both"/>
        <w:rPr>
          <w:b/>
          <w:lang w:val="en-US"/>
        </w:rPr>
      </w:pPr>
      <w:proofErr w:type="spellStart"/>
      <w:r w:rsidRPr="00372958">
        <w:rPr>
          <w:lang w:val="fi-FI"/>
        </w:rPr>
        <w:t>Tilvis</w:t>
      </w:r>
      <w:proofErr w:type="spellEnd"/>
      <w:r w:rsidRPr="00372958">
        <w:rPr>
          <w:lang w:val="fi-FI"/>
        </w:rPr>
        <w:t xml:space="preserve">, R., Pitkälä, K., Jolkkonen, J., &amp; Strandberg, T. (2000). </w:t>
      </w:r>
      <w:r w:rsidRPr="00D31A77">
        <w:rPr>
          <w:lang w:val="en-US"/>
        </w:rPr>
        <w:t xml:space="preserve">Feelings of loneliness and 10-year cognitive decline in the aged population. </w:t>
      </w:r>
      <w:r w:rsidRPr="00D31A77">
        <w:rPr>
          <w:i/>
          <w:lang w:val="fi-FI"/>
        </w:rPr>
        <w:t>Lancet</w:t>
      </w:r>
      <w:r w:rsidRPr="00D31A77">
        <w:rPr>
          <w:lang w:val="fi-FI"/>
        </w:rPr>
        <w:t xml:space="preserve">, 356, </w:t>
      </w:r>
      <w:proofErr w:type="gramStart"/>
      <w:r w:rsidRPr="00D31A77">
        <w:rPr>
          <w:lang w:val="fi-FI"/>
        </w:rPr>
        <w:t>77-78</w:t>
      </w:r>
      <w:proofErr w:type="gramEnd"/>
      <w:r w:rsidRPr="00D31A77">
        <w:rPr>
          <w:lang w:val="fi-FI"/>
        </w:rPr>
        <w:t>.</w:t>
      </w:r>
    </w:p>
    <w:p w14:paraId="12B47B08" w14:textId="77777777" w:rsidR="00A36E6A" w:rsidRDefault="00A36E6A">
      <w:pPr>
        <w:jc w:val="both"/>
        <w:rPr>
          <w:b/>
          <w:lang w:val="en-US"/>
        </w:rPr>
      </w:pPr>
    </w:p>
    <w:p w14:paraId="0031D8B1" w14:textId="77777777" w:rsidR="00773361" w:rsidRDefault="00773361">
      <w:pPr>
        <w:jc w:val="both"/>
        <w:rPr>
          <w:b/>
          <w:lang w:val="en-US"/>
        </w:rPr>
      </w:pPr>
    </w:p>
    <w:p w14:paraId="648C8735" w14:textId="77777777" w:rsidR="00773361" w:rsidRDefault="00773361">
      <w:pPr>
        <w:jc w:val="both"/>
        <w:rPr>
          <w:b/>
          <w:lang w:val="en-US"/>
        </w:rPr>
      </w:pPr>
    </w:p>
    <w:p w14:paraId="779478D4" w14:textId="008BD2C3" w:rsidR="00773361" w:rsidRDefault="00773361">
      <w:pPr>
        <w:jc w:val="both"/>
        <w:rPr>
          <w:b/>
          <w:lang w:val="en-US"/>
        </w:rPr>
      </w:pPr>
    </w:p>
    <w:p w14:paraId="0F213545" w14:textId="080554EA" w:rsidR="000F750B" w:rsidRDefault="000F750B">
      <w:pPr>
        <w:jc w:val="both"/>
        <w:rPr>
          <w:b/>
          <w:lang w:val="en-US"/>
        </w:rPr>
      </w:pPr>
    </w:p>
    <w:p w14:paraId="4F974081" w14:textId="78926C7D" w:rsidR="000F750B" w:rsidRDefault="000F750B">
      <w:pPr>
        <w:jc w:val="both"/>
        <w:rPr>
          <w:b/>
          <w:lang w:val="en-US"/>
        </w:rPr>
      </w:pPr>
    </w:p>
    <w:p w14:paraId="2458F4D8" w14:textId="03B5B8A5" w:rsidR="000F750B" w:rsidRDefault="000F750B">
      <w:pPr>
        <w:jc w:val="both"/>
        <w:rPr>
          <w:b/>
          <w:lang w:val="en-US"/>
        </w:rPr>
      </w:pPr>
    </w:p>
    <w:p w14:paraId="6D7951ED" w14:textId="6248F5F2" w:rsidR="000F750B" w:rsidRDefault="000F750B">
      <w:pPr>
        <w:jc w:val="both"/>
        <w:rPr>
          <w:b/>
          <w:lang w:val="en-US"/>
        </w:rPr>
      </w:pPr>
    </w:p>
    <w:p w14:paraId="241020B4" w14:textId="19C3606D" w:rsidR="000F750B" w:rsidRDefault="000F750B">
      <w:pPr>
        <w:jc w:val="both"/>
        <w:rPr>
          <w:b/>
          <w:lang w:val="en-US"/>
        </w:rPr>
      </w:pPr>
    </w:p>
    <w:p w14:paraId="7756F090" w14:textId="5D57C2A4" w:rsidR="000F750B" w:rsidRDefault="000F750B">
      <w:pPr>
        <w:jc w:val="both"/>
        <w:rPr>
          <w:b/>
          <w:lang w:val="en-US"/>
        </w:rPr>
      </w:pPr>
    </w:p>
    <w:p w14:paraId="0AD2F103" w14:textId="5974B4FD" w:rsidR="000F750B" w:rsidRDefault="000F750B">
      <w:pPr>
        <w:jc w:val="both"/>
        <w:rPr>
          <w:b/>
          <w:lang w:val="en-US"/>
        </w:rPr>
      </w:pPr>
    </w:p>
    <w:p w14:paraId="6D5030E3" w14:textId="387072A5" w:rsidR="000F750B" w:rsidRDefault="000F750B">
      <w:pPr>
        <w:jc w:val="both"/>
        <w:rPr>
          <w:b/>
          <w:lang w:val="en-US"/>
        </w:rPr>
      </w:pPr>
    </w:p>
    <w:p w14:paraId="4CEAF949" w14:textId="6D6A3B16" w:rsidR="000F750B" w:rsidRDefault="000F750B">
      <w:pPr>
        <w:jc w:val="both"/>
        <w:rPr>
          <w:b/>
          <w:lang w:val="en-US"/>
        </w:rPr>
      </w:pPr>
    </w:p>
    <w:p w14:paraId="1F69A578" w14:textId="32FDA46B" w:rsidR="000F750B" w:rsidRDefault="000F750B">
      <w:pPr>
        <w:jc w:val="both"/>
        <w:rPr>
          <w:b/>
          <w:lang w:val="en-US"/>
        </w:rPr>
      </w:pPr>
    </w:p>
    <w:p w14:paraId="47995CB6" w14:textId="618682AA" w:rsidR="000F750B" w:rsidRDefault="000F750B">
      <w:pPr>
        <w:jc w:val="both"/>
        <w:rPr>
          <w:b/>
          <w:lang w:val="en-US"/>
        </w:rPr>
      </w:pPr>
    </w:p>
    <w:p w14:paraId="004F97B7" w14:textId="087C06CC" w:rsidR="000F750B" w:rsidRDefault="000F750B">
      <w:pPr>
        <w:jc w:val="both"/>
        <w:rPr>
          <w:b/>
          <w:lang w:val="en-US"/>
        </w:rPr>
      </w:pPr>
    </w:p>
    <w:p w14:paraId="09898633" w14:textId="36412963" w:rsidR="00CE6598" w:rsidRDefault="00836E32" w:rsidP="00184873">
      <w:pPr>
        <w:jc w:val="center"/>
        <w:rPr>
          <w:b/>
          <w:lang w:val="en-US"/>
        </w:rPr>
      </w:pPr>
      <w:r>
        <w:rPr>
          <w:b/>
          <w:lang w:val="en-US"/>
        </w:rPr>
        <w:lastRenderedPageBreak/>
        <w:t>Appendix 2</w:t>
      </w:r>
    </w:p>
    <w:p w14:paraId="7BEE0374" w14:textId="77777777" w:rsidR="00CE6598" w:rsidRDefault="00CE6598">
      <w:pPr>
        <w:jc w:val="both"/>
        <w:rPr>
          <w:b/>
          <w:lang w:val="en-US"/>
        </w:rPr>
      </w:pPr>
    </w:p>
    <w:p w14:paraId="75076A6E" w14:textId="77777777" w:rsidR="00CE6598" w:rsidRDefault="00CE6598">
      <w:pPr>
        <w:jc w:val="both"/>
        <w:rPr>
          <w:lang w:val="en-US"/>
        </w:rPr>
      </w:pPr>
    </w:p>
    <w:tbl>
      <w:tblPr>
        <w:tblW w:w="8895" w:type="dxa"/>
        <w:tblLayout w:type="fixed"/>
        <w:tblCellMar>
          <w:top w:w="100" w:type="dxa"/>
          <w:left w:w="100" w:type="dxa"/>
          <w:bottom w:w="100" w:type="dxa"/>
          <w:right w:w="100" w:type="dxa"/>
        </w:tblCellMar>
        <w:tblLook w:val="0000" w:firstRow="0" w:lastRow="0" w:firstColumn="0" w:lastColumn="0" w:noHBand="0" w:noVBand="0"/>
      </w:tblPr>
      <w:tblGrid>
        <w:gridCol w:w="467"/>
        <w:gridCol w:w="387"/>
        <w:gridCol w:w="1714"/>
        <w:gridCol w:w="1498"/>
        <w:gridCol w:w="1455"/>
        <w:gridCol w:w="1573"/>
        <w:gridCol w:w="1801"/>
      </w:tblGrid>
      <w:tr w:rsidR="00CE6598" w14:paraId="38967328" w14:textId="77777777" w:rsidTr="00737A59">
        <w:trPr>
          <w:trHeight w:val="390"/>
        </w:trPr>
        <w:tc>
          <w:tcPr>
            <w:tcW w:w="467" w:type="dxa"/>
            <w:tcBorders>
              <w:top w:val="single" w:sz="8" w:space="0" w:color="000000"/>
              <w:left w:val="single" w:sz="8" w:space="0" w:color="000000"/>
              <w:bottom w:val="single" w:sz="8" w:space="0" w:color="000000"/>
              <w:right w:val="single" w:sz="8" w:space="0" w:color="000000"/>
            </w:tcBorders>
          </w:tcPr>
          <w:p w14:paraId="388AF061" w14:textId="77777777" w:rsidR="00CE6598" w:rsidRDefault="00836E32">
            <w:pPr>
              <w:widowControl w:val="0"/>
              <w:jc w:val="both"/>
              <w:rPr>
                <w:b/>
                <w:sz w:val="14"/>
                <w:szCs w:val="14"/>
                <w:lang w:val="en-US"/>
              </w:rPr>
            </w:pPr>
            <w:r>
              <w:rPr>
                <w:b/>
                <w:sz w:val="14"/>
                <w:szCs w:val="14"/>
                <w:lang w:val="en-US"/>
              </w:rPr>
              <w:t>RQ</w:t>
            </w:r>
          </w:p>
        </w:tc>
        <w:tc>
          <w:tcPr>
            <w:tcW w:w="387" w:type="dxa"/>
            <w:tcBorders>
              <w:top w:val="single" w:sz="8" w:space="0" w:color="000000"/>
              <w:bottom w:val="single" w:sz="8" w:space="0" w:color="000000"/>
              <w:right w:val="single" w:sz="8" w:space="0" w:color="000000"/>
            </w:tcBorders>
          </w:tcPr>
          <w:p w14:paraId="45347ACD" w14:textId="77777777" w:rsidR="00CE6598" w:rsidRDefault="00836E32">
            <w:pPr>
              <w:widowControl w:val="0"/>
              <w:jc w:val="both"/>
              <w:rPr>
                <w:b/>
                <w:sz w:val="14"/>
                <w:szCs w:val="14"/>
                <w:lang w:val="en-US"/>
              </w:rPr>
            </w:pPr>
            <w:r>
              <w:rPr>
                <w:b/>
                <w:sz w:val="14"/>
                <w:szCs w:val="14"/>
                <w:lang w:val="en-US"/>
              </w:rPr>
              <w:t>H</w:t>
            </w:r>
          </w:p>
        </w:tc>
        <w:tc>
          <w:tcPr>
            <w:tcW w:w="1714" w:type="dxa"/>
            <w:tcBorders>
              <w:top w:val="single" w:sz="8" w:space="0" w:color="000000"/>
              <w:bottom w:val="single" w:sz="8" w:space="0" w:color="000000"/>
              <w:right w:val="single" w:sz="8" w:space="0" w:color="000000"/>
            </w:tcBorders>
          </w:tcPr>
          <w:p w14:paraId="0957E1D8" w14:textId="77777777" w:rsidR="00CE6598" w:rsidRDefault="00836E32">
            <w:pPr>
              <w:widowControl w:val="0"/>
              <w:jc w:val="both"/>
              <w:rPr>
                <w:b/>
                <w:sz w:val="14"/>
                <w:szCs w:val="14"/>
                <w:lang w:val="en-US"/>
              </w:rPr>
            </w:pPr>
            <w:r>
              <w:rPr>
                <w:b/>
                <w:sz w:val="14"/>
                <w:szCs w:val="14"/>
                <w:lang w:val="en-US"/>
              </w:rPr>
              <w:t xml:space="preserve">Sampling </w:t>
            </w:r>
          </w:p>
        </w:tc>
        <w:tc>
          <w:tcPr>
            <w:tcW w:w="1498" w:type="dxa"/>
            <w:tcBorders>
              <w:top w:val="single" w:sz="8" w:space="0" w:color="000000"/>
              <w:bottom w:val="single" w:sz="8" w:space="0" w:color="000000"/>
              <w:right w:val="single" w:sz="8" w:space="0" w:color="000000"/>
            </w:tcBorders>
          </w:tcPr>
          <w:p w14:paraId="0B7FC701" w14:textId="77777777" w:rsidR="00CE6598" w:rsidRDefault="00836E32">
            <w:pPr>
              <w:widowControl w:val="0"/>
              <w:jc w:val="both"/>
              <w:rPr>
                <w:b/>
                <w:sz w:val="14"/>
                <w:szCs w:val="14"/>
                <w:lang w:val="en-US"/>
              </w:rPr>
            </w:pPr>
            <w:r>
              <w:rPr>
                <w:b/>
                <w:sz w:val="14"/>
                <w:szCs w:val="14"/>
                <w:lang w:val="en-US"/>
              </w:rPr>
              <w:t>Analysis</w:t>
            </w:r>
          </w:p>
        </w:tc>
        <w:tc>
          <w:tcPr>
            <w:tcW w:w="1455" w:type="dxa"/>
            <w:tcBorders>
              <w:top w:val="single" w:sz="8" w:space="0" w:color="000000"/>
              <w:bottom w:val="single" w:sz="8" w:space="0" w:color="000000"/>
              <w:right w:val="single" w:sz="8" w:space="0" w:color="000000"/>
            </w:tcBorders>
          </w:tcPr>
          <w:p w14:paraId="4002394B" w14:textId="77777777" w:rsidR="00CE6598" w:rsidRDefault="00836E32">
            <w:pPr>
              <w:widowControl w:val="0"/>
              <w:jc w:val="both"/>
              <w:rPr>
                <w:b/>
                <w:sz w:val="14"/>
                <w:szCs w:val="14"/>
                <w:lang w:val="en-US"/>
              </w:rPr>
            </w:pPr>
            <w:r>
              <w:rPr>
                <w:b/>
                <w:sz w:val="14"/>
                <w:szCs w:val="14"/>
                <w:lang w:val="en-US"/>
              </w:rPr>
              <w:t>Rationale</w:t>
            </w:r>
          </w:p>
        </w:tc>
        <w:tc>
          <w:tcPr>
            <w:tcW w:w="1573" w:type="dxa"/>
            <w:tcBorders>
              <w:top w:val="single" w:sz="8" w:space="0" w:color="000000"/>
              <w:bottom w:val="single" w:sz="8" w:space="0" w:color="000000"/>
              <w:right w:val="single" w:sz="8" w:space="0" w:color="000000"/>
            </w:tcBorders>
          </w:tcPr>
          <w:p w14:paraId="305CDA79" w14:textId="77777777" w:rsidR="00CE6598" w:rsidRDefault="00836E32">
            <w:pPr>
              <w:widowControl w:val="0"/>
              <w:jc w:val="both"/>
              <w:rPr>
                <w:b/>
                <w:sz w:val="14"/>
                <w:szCs w:val="14"/>
                <w:lang w:val="en-US"/>
              </w:rPr>
            </w:pPr>
            <w:r>
              <w:rPr>
                <w:b/>
                <w:sz w:val="14"/>
                <w:szCs w:val="14"/>
                <w:lang w:val="en-US"/>
              </w:rPr>
              <w:t>Interpretation</w:t>
            </w:r>
          </w:p>
        </w:tc>
        <w:tc>
          <w:tcPr>
            <w:tcW w:w="1801" w:type="dxa"/>
            <w:tcBorders>
              <w:top w:val="single" w:sz="8" w:space="0" w:color="000000"/>
              <w:bottom w:val="single" w:sz="8" w:space="0" w:color="000000"/>
              <w:right w:val="single" w:sz="8" w:space="0" w:color="000000"/>
            </w:tcBorders>
          </w:tcPr>
          <w:p w14:paraId="753620D5" w14:textId="77777777" w:rsidR="00CE6598" w:rsidRDefault="00836E32">
            <w:pPr>
              <w:widowControl w:val="0"/>
              <w:jc w:val="both"/>
              <w:rPr>
                <w:b/>
                <w:sz w:val="14"/>
                <w:szCs w:val="14"/>
                <w:lang w:val="en-US"/>
              </w:rPr>
            </w:pPr>
            <w:r>
              <w:rPr>
                <w:b/>
                <w:sz w:val="14"/>
                <w:szCs w:val="14"/>
                <w:lang w:val="en-US"/>
              </w:rPr>
              <w:t>Theory</w:t>
            </w:r>
          </w:p>
        </w:tc>
      </w:tr>
      <w:tr w:rsidR="00737A59" w:rsidRPr="00D27FB4" w14:paraId="772F82F8" w14:textId="77777777" w:rsidTr="00737A59">
        <w:trPr>
          <w:trHeight w:val="4335"/>
        </w:trPr>
        <w:tc>
          <w:tcPr>
            <w:tcW w:w="467" w:type="dxa"/>
            <w:tcBorders>
              <w:left w:val="single" w:sz="8" w:space="0" w:color="000000"/>
              <w:bottom w:val="single" w:sz="8" w:space="0" w:color="000000"/>
              <w:right w:val="single" w:sz="8" w:space="0" w:color="000000"/>
            </w:tcBorders>
          </w:tcPr>
          <w:p w14:paraId="7ECC8F08" w14:textId="77777777" w:rsidR="00737A59" w:rsidRDefault="00737A59">
            <w:pPr>
              <w:widowControl w:val="0"/>
              <w:jc w:val="both"/>
              <w:rPr>
                <w:b/>
                <w:sz w:val="14"/>
                <w:szCs w:val="14"/>
                <w:lang w:val="en-US"/>
              </w:rPr>
            </w:pPr>
          </w:p>
          <w:p w14:paraId="08982D61" w14:textId="77777777" w:rsidR="00737A59" w:rsidRDefault="00737A59">
            <w:pPr>
              <w:widowControl w:val="0"/>
              <w:jc w:val="both"/>
              <w:rPr>
                <w:b/>
                <w:sz w:val="14"/>
                <w:szCs w:val="14"/>
                <w:lang w:val="en-US"/>
              </w:rPr>
            </w:pPr>
          </w:p>
          <w:p w14:paraId="5111A54C" w14:textId="77777777" w:rsidR="00737A59" w:rsidRDefault="00737A59">
            <w:pPr>
              <w:widowControl w:val="0"/>
              <w:jc w:val="both"/>
              <w:rPr>
                <w:b/>
                <w:sz w:val="14"/>
                <w:szCs w:val="14"/>
                <w:lang w:val="en-US"/>
              </w:rPr>
            </w:pPr>
          </w:p>
          <w:p w14:paraId="2CFF4441" w14:textId="77777777" w:rsidR="00737A59" w:rsidRDefault="00737A59">
            <w:pPr>
              <w:widowControl w:val="0"/>
              <w:jc w:val="both"/>
              <w:rPr>
                <w:b/>
                <w:sz w:val="14"/>
                <w:szCs w:val="14"/>
                <w:lang w:val="en-US"/>
              </w:rPr>
            </w:pPr>
          </w:p>
          <w:p w14:paraId="57EA3DD0" w14:textId="77777777" w:rsidR="00737A59" w:rsidRDefault="00737A59">
            <w:pPr>
              <w:widowControl w:val="0"/>
              <w:jc w:val="both"/>
              <w:rPr>
                <w:b/>
                <w:sz w:val="14"/>
                <w:szCs w:val="14"/>
                <w:lang w:val="en-US"/>
              </w:rPr>
            </w:pPr>
          </w:p>
          <w:p w14:paraId="50524A59" w14:textId="77777777" w:rsidR="00737A59" w:rsidRDefault="00737A59">
            <w:pPr>
              <w:widowControl w:val="0"/>
              <w:jc w:val="both"/>
              <w:rPr>
                <w:b/>
                <w:sz w:val="14"/>
                <w:szCs w:val="14"/>
                <w:lang w:val="en-US"/>
              </w:rPr>
            </w:pPr>
          </w:p>
          <w:p w14:paraId="7FFB26D9" w14:textId="77777777" w:rsidR="00737A59" w:rsidRDefault="00737A59">
            <w:pPr>
              <w:widowControl w:val="0"/>
              <w:jc w:val="both"/>
              <w:rPr>
                <w:b/>
                <w:sz w:val="14"/>
                <w:szCs w:val="14"/>
                <w:lang w:val="en-US"/>
              </w:rPr>
            </w:pPr>
          </w:p>
          <w:p w14:paraId="610E4FF6" w14:textId="77777777" w:rsidR="00737A59" w:rsidRDefault="00737A59">
            <w:pPr>
              <w:widowControl w:val="0"/>
              <w:jc w:val="both"/>
              <w:rPr>
                <w:b/>
                <w:sz w:val="14"/>
                <w:szCs w:val="14"/>
                <w:lang w:val="en-US"/>
              </w:rPr>
            </w:pPr>
          </w:p>
          <w:p w14:paraId="7D1E7764" w14:textId="77777777" w:rsidR="00737A59" w:rsidRDefault="00737A59">
            <w:pPr>
              <w:widowControl w:val="0"/>
              <w:jc w:val="both"/>
              <w:rPr>
                <w:b/>
                <w:sz w:val="14"/>
                <w:szCs w:val="14"/>
                <w:lang w:val="en-US"/>
              </w:rPr>
            </w:pPr>
          </w:p>
          <w:p w14:paraId="14D72E2B" w14:textId="77777777" w:rsidR="00737A59" w:rsidRDefault="00737A59">
            <w:pPr>
              <w:widowControl w:val="0"/>
              <w:jc w:val="both"/>
              <w:rPr>
                <w:b/>
                <w:sz w:val="14"/>
                <w:szCs w:val="14"/>
                <w:lang w:val="en-US"/>
              </w:rPr>
            </w:pPr>
          </w:p>
          <w:p w14:paraId="1E12DE65" w14:textId="77777777" w:rsidR="00737A59" w:rsidRDefault="00737A59">
            <w:pPr>
              <w:widowControl w:val="0"/>
              <w:jc w:val="both"/>
              <w:rPr>
                <w:b/>
                <w:sz w:val="14"/>
                <w:szCs w:val="14"/>
                <w:lang w:val="en-US"/>
              </w:rPr>
            </w:pPr>
          </w:p>
          <w:p w14:paraId="54EA9A10" w14:textId="77777777" w:rsidR="00737A59" w:rsidRDefault="00737A59">
            <w:pPr>
              <w:widowControl w:val="0"/>
              <w:jc w:val="both"/>
              <w:rPr>
                <w:b/>
                <w:sz w:val="14"/>
                <w:szCs w:val="14"/>
                <w:lang w:val="en-US"/>
              </w:rPr>
            </w:pPr>
          </w:p>
          <w:p w14:paraId="47253BB1" w14:textId="77777777" w:rsidR="00737A59" w:rsidRDefault="00737A59">
            <w:pPr>
              <w:widowControl w:val="0"/>
              <w:jc w:val="both"/>
              <w:rPr>
                <w:b/>
                <w:sz w:val="14"/>
                <w:szCs w:val="14"/>
                <w:lang w:val="en-US"/>
              </w:rPr>
            </w:pPr>
            <w:r>
              <w:rPr>
                <w:b/>
                <w:sz w:val="14"/>
                <w:szCs w:val="14"/>
                <w:lang w:val="en-US"/>
              </w:rPr>
              <w:t>A</w:t>
            </w:r>
          </w:p>
          <w:p w14:paraId="7A6FD402" w14:textId="77777777" w:rsidR="00737A59" w:rsidRDefault="00737A59">
            <w:pPr>
              <w:widowControl w:val="0"/>
              <w:jc w:val="both"/>
              <w:rPr>
                <w:b/>
                <w:sz w:val="14"/>
                <w:szCs w:val="14"/>
                <w:lang w:val="en-US"/>
              </w:rPr>
            </w:pPr>
          </w:p>
        </w:tc>
        <w:tc>
          <w:tcPr>
            <w:tcW w:w="387" w:type="dxa"/>
            <w:tcBorders>
              <w:top w:val="single" w:sz="8" w:space="0" w:color="000000"/>
              <w:bottom w:val="single" w:sz="4" w:space="0" w:color="auto"/>
              <w:right w:val="single" w:sz="8" w:space="0" w:color="000000"/>
            </w:tcBorders>
          </w:tcPr>
          <w:p w14:paraId="3CEC7A79" w14:textId="77777777" w:rsidR="00737A59" w:rsidRDefault="00737A59">
            <w:pPr>
              <w:widowControl w:val="0"/>
              <w:jc w:val="both"/>
              <w:rPr>
                <w:b/>
                <w:sz w:val="14"/>
                <w:szCs w:val="14"/>
                <w:lang w:val="en-US"/>
              </w:rPr>
            </w:pPr>
          </w:p>
          <w:p w14:paraId="7D0B23B4" w14:textId="77777777" w:rsidR="00737A59" w:rsidRDefault="00737A59">
            <w:pPr>
              <w:widowControl w:val="0"/>
              <w:jc w:val="both"/>
              <w:rPr>
                <w:b/>
                <w:sz w:val="14"/>
                <w:szCs w:val="14"/>
                <w:lang w:val="en-US"/>
              </w:rPr>
            </w:pPr>
          </w:p>
          <w:p w14:paraId="6D0ED38D" w14:textId="77777777" w:rsidR="00737A59" w:rsidRDefault="00737A59">
            <w:pPr>
              <w:widowControl w:val="0"/>
              <w:jc w:val="both"/>
              <w:rPr>
                <w:b/>
                <w:sz w:val="14"/>
                <w:szCs w:val="14"/>
                <w:lang w:val="en-US"/>
              </w:rPr>
            </w:pPr>
          </w:p>
          <w:p w14:paraId="0298202E" w14:textId="77777777" w:rsidR="00737A59" w:rsidRDefault="00737A59">
            <w:pPr>
              <w:widowControl w:val="0"/>
              <w:jc w:val="both"/>
              <w:rPr>
                <w:b/>
                <w:sz w:val="14"/>
                <w:szCs w:val="14"/>
                <w:lang w:val="en-US"/>
              </w:rPr>
            </w:pPr>
          </w:p>
          <w:p w14:paraId="11F8E4F2" w14:textId="77777777" w:rsidR="00737A59" w:rsidRDefault="00737A59">
            <w:pPr>
              <w:widowControl w:val="0"/>
              <w:jc w:val="both"/>
              <w:rPr>
                <w:b/>
                <w:sz w:val="14"/>
                <w:szCs w:val="14"/>
                <w:lang w:val="en-US"/>
              </w:rPr>
            </w:pPr>
          </w:p>
          <w:p w14:paraId="37E17D6D" w14:textId="77777777" w:rsidR="00737A59" w:rsidRDefault="00737A59">
            <w:pPr>
              <w:widowControl w:val="0"/>
              <w:jc w:val="both"/>
              <w:rPr>
                <w:b/>
                <w:sz w:val="14"/>
                <w:szCs w:val="14"/>
                <w:lang w:val="en-US"/>
              </w:rPr>
            </w:pPr>
          </w:p>
          <w:p w14:paraId="63E68ACD" w14:textId="77777777" w:rsidR="00737A59" w:rsidRDefault="00737A59">
            <w:pPr>
              <w:widowControl w:val="0"/>
              <w:jc w:val="both"/>
              <w:rPr>
                <w:b/>
                <w:sz w:val="14"/>
                <w:szCs w:val="14"/>
                <w:lang w:val="en-US"/>
              </w:rPr>
            </w:pPr>
          </w:p>
          <w:p w14:paraId="0D297F78" w14:textId="77777777" w:rsidR="00737A59" w:rsidRDefault="00737A59">
            <w:pPr>
              <w:widowControl w:val="0"/>
              <w:jc w:val="both"/>
              <w:rPr>
                <w:b/>
                <w:sz w:val="14"/>
                <w:szCs w:val="14"/>
                <w:lang w:val="en-US"/>
              </w:rPr>
            </w:pPr>
          </w:p>
          <w:p w14:paraId="3C6CEF60" w14:textId="77777777" w:rsidR="00737A59" w:rsidRDefault="00737A59">
            <w:pPr>
              <w:widowControl w:val="0"/>
              <w:jc w:val="both"/>
              <w:rPr>
                <w:b/>
                <w:sz w:val="14"/>
                <w:szCs w:val="14"/>
                <w:lang w:val="en-US"/>
              </w:rPr>
            </w:pPr>
          </w:p>
          <w:p w14:paraId="2DAD9421" w14:textId="77777777" w:rsidR="00737A59" w:rsidRDefault="00737A59">
            <w:pPr>
              <w:widowControl w:val="0"/>
              <w:jc w:val="both"/>
              <w:rPr>
                <w:b/>
                <w:sz w:val="14"/>
                <w:szCs w:val="14"/>
                <w:lang w:val="en-US"/>
              </w:rPr>
            </w:pPr>
          </w:p>
          <w:p w14:paraId="01364D84" w14:textId="77777777" w:rsidR="00737A59" w:rsidRDefault="00737A59">
            <w:pPr>
              <w:widowControl w:val="0"/>
              <w:jc w:val="both"/>
              <w:rPr>
                <w:b/>
                <w:sz w:val="14"/>
                <w:szCs w:val="14"/>
                <w:lang w:val="en-US"/>
              </w:rPr>
            </w:pPr>
          </w:p>
          <w:p w14:paraId="4F35410F" w14:textId="77187B12" w:rsidR="00737A59" w:rsidRDefault="00737A59">
            <w:pPr>
              <w:widowControl w:val="0"/>
              <w:jc w:val="both"/>
              <w:rPr>
                <w:b/>
                <w:sz w:val="14"/>
                <w:szCs w:val="14"/>
                <w:lang w:val="en-US"/>
              </w:rPr>
            </w:pPr>
            <w:r>
              <w:rPr>
                <w:b/>
                <w:sz w:val="14"/>
                <w:szCs w:val="14"/>
                <w:lang w:val="en-US"/>
              </w:rPr>
              <w:t>1a</w:t>
            </w:r>
          </w:p>
          <w:p w14:paraId="5D09C43C" w14:textId="77777777" w:rsidR="00737A59" w:rsidRDefault="00737A59" w:rsidP="00393391">
            <w:pPr>
              <w:widowControl w:val="0"/>
              <w:jc w:val="both"/>
              <w:rPr>
                <w:b/>
                <w:sz w:val="14"/>
                <w:szCs w:val="14"/>
                <w:lang w:val="en-US"/>
              </w:rPr>
            </w:pPr>
            <w:r>
              <w:rPr>
                <w:b/>
                <w:sz w:val="14"/>
                <w:szCs w:val="14"/>
                <w:lang w:val="en-US"/>
              </w:rPr>
              <w:t>1b</w:t>
            </w:r>
          </w:p>
          <w:p w14:paraId="3E114681" w14:textId="77777777" w:rsidR="00737A59" w:rsidRDefault="00737A59" w:rsidP="00393391">
            <w:pPr>
              <w:widowControl w:val="0"/>
              <w:jc w:val="both"/>
              <w:rPr>
                <w:b/>
                <w:sz w:val="14"/>
                <w:szCs w:val="14"/>
                <w:lang w:val="en-US"/>
              </w:rPr>
            </w:pPr>
            <w:r>
              <w:rPr>
                <w:b/>
                <w:sz w:val="14"/>
                <w:szCs w:val="14"/>
                <w:lang w:val="en-US"/>
              </w:rPr>
              <w:t>1c</w:t>
            </w:r>
          </w:p>
          <w:p w14:paraId="2F254158" w14:textId="711BABE2" w:rsidR="00737A59" w:rsidRDefault="00737A59" w:rsidP="00393391">
            <w:pPr>
              <w:widowControl w:val="0"/>
              <w:jc w:val="both"/>
              <w:rPr>
                <w:b/>
                <w:sz w:val="14"/>
                <w:szCs w:val="14"/>
                <w:lang w:val="en-US"/>
              </w:rPr>
            </w:pPr>
            <w:r>
              <w:rPr>
                <w:b/>
                <w:sz w:val="14"/>
                <w:szCs w:val="14"/>
                <w:lang w:val="en-US"/>
              </w:rPr>
              <w:t>1d</w:t>
            </w:r>
          </w:p>
        </w:tc>
        <w:tc>
          <w:tcPr>
            <w:tcW w:w="1714" w:type="dxa"/>
            <w:tcBorders>
              <w:bottom w:val="single" w:sz="8" w:space="0" w:color="000000"/>
              <w:right w:val="single" w:sz="8" w:space="0" w:color="000000"/>
            </w:tcBorders>
          </w:tcPr>
          <w:p w14:paraId="4348A71C" w14:textId="77777777" w:rsidR="00737A59" w:rsidRDefault="00737A59">
            <w:pPr>
              <w:widowControl w:val="0"/>
              <w:jc w:val="both"/>
              <w:rPr>
                <w:sz w:val="13"/>
                <w:szCs w:val="13"/>
                <w:lang w:val="en-US"/>
              </w:rPr>
            </w:pPr>
          </w:p>
          <w:p w14:paraId="553FA45A" w14:textId="77777777" w:rsidR="00737A59" w:rsidRDefault="00737A59">
            <w:pPr>
              <w:widowControl w:val="0"/>
              <w:jc w:val="both"/>
              <w:rPr>
                <w:sz w:val="13"/>
                <w:szCs w:val="13"/>
                <w:lang w:val="en-US"/>
              </w:rPr>
            </w:pPr>
          </w:p>
          <w:p w14:paraId="0590FFF8" w14:textId="77777777" w:rsidR="00737A59" w:rsidRDefault="00737A59">
            <w:pPr>
              <w:widowControl w:val="0"/>
              <w:jc w:val="both"/>
              <w:rPr>
                <w:sz w:val="13"/>
                <w:szCs w:val="13"/>
                <w:lang w:val="en-US"/>
              </w:rPr>
            </w:pPr>
          </w:p>
          <w:p w14:paraId="26B87675" w14:textId="77777777" w:rsidR="00737A59" w:rsidRDefault="00737A59">
            <w:pPr>
              <w:widowControl w:val="0"/>
              <w:jc w:val="both"/>
              <w:rPr>
                <w:sz w:val="13"/>
                <w:szCs w:val="13"/>
                <w:lang w:val="en-US"/>
              </w:rPr>
            </w:pPr>
          </w:p>
          <w:p w14:paraId="0DA5242C" w14:textId="77777777" w:rsidR="00737A59" w:rsidRDefault="00737A59">
            <w:pPr>
              <w:widowControl w:val="0"/>
              <w:jc w:val="both"/>
              <w:rPr>
                <w:sz w:val="13"/>
                <w:szCs w:val="13"/>
                <w:lang w:val="en-US"/>
              </w:rPr>
            </w:pPr>
          </w:p>
          <w:p w14:paraId="13697245" w14:textId="77777777" w:rsidR="00737A59" w:rsidRDefault="00737A59">
            <w:pPr>
              <w:widowControl w:val="0"/>
              <w:jc w:val="both"/>
              <w:rPr>
                <w:sz w:val="13"/>
                <w:szCs w:val="13"/>
                <w:lang w:val="en-US"/>
              </w:rPr>
            </w:pPr>
          </w:p>
          <w:p w14:paraId="4F518314" w14:textId="77777777" w:rsidR="00737A59" w:rsidRDefault="00737A59">
            <w:pPr>
              <w:widowControl w:val="0"/>
              <w:jc w:val="both"/>
              <w:rPr>
                <w:sz w:val="13"/>
                <w:szCs w:val="13"/>
                <w:lang w:val="en-US"/>
              </w:rPr>
            </w:pPr>
          </w:p>
          <w:p w14:paraId="1A5AC541" w14:textId="77777777" w:rsidR="00737A59" w:rsidRDefault="00737A59">
            <w:pPr>
              <w:widowControl w:val="0"/>
              <w:jc w:val="both"/>
              <w:rPr>
                <w:sz w:val="13"/>
                <w:szCs w:val="13"/>
                <w:lang w:val="en-US"/>
              </w:rPr>
            </w:pPr>
          </w:p>
          <w:p w14:paraId="78BE267D" w14:textId="77777777" w:rsidR="00737A59" w:rsidRDefault="00737A59">
            <w:pPr>
              <w:widowControl w:val="0"/>
              <w:jc w:val="both"/>
              <w:rPr>
                <w:sz w:val="13"/>
                <w:szCs w:val="13"/>
                <w:lang w:val="en-US"/>
              </w:rPr>
            </w:pPr>
          </w:p>
          <w:p w14:paraId="318B4307" w14:textId="77777777" w:rsidR="00737A59" w:rsidRDefault="00737A59">
            <w:pPr>
              <w:widowControl w:val="0"/>
              <w:jc w:val="both"/>
              <w:rPr>
                <w:sz w:val="13"/>
                <w:szCs w:val="13"/>
                <w:lang w:val="en-US"/>
              </w:rPr>
            </w:pPr>
          </w:p>
          <w:p w14:paraId="33B8C329" w14:textId="77777777" w:rsidR="00737A59" w:rsidRDefault="00737A59">
            <w:pPr>
              <w:widowControl w:val="0"/>
              <w:jc w:val="both"/>
              <w:rPr>
                <w:sz w:val="13"/>
                <w:szCs w:val="13"/>
                <w:lang w:val="en-US"/>
              </w:rPr>
            </w:pPr>
          </w:p>
          <w:p w14:paraId="051E7115" w14:textId="6C197DEE" w:rsidR="00737A59" w:rsidRDefault="00737A59">
            <w:pPr>
              <w:widowControl w:val="0"/>
              <w:jc w:val="both"/>
              <w:rPr>
                <w:sz w:val="13"/>
                <w:szCs w:val="13"/>
                <w:lang w:val="en-US"/>
              </w:rPr>
            </w:pPr>
            <w:r>
              <w:rPr>
                <w:sz w:val="13"/>
                <w:szCs w:val="13"/>
                <w:lang w:val="en-US"/>
              </w:rPr>
              <w:t xml:space="preserve">Nationally representative </w:t>
            </w:r>
            <w:r>
              <w:rPr>
                <w:i/>
                <w:sz w:val="13"/>
                <w:szCs w:val="13"/>
                <w:lang w:val="en-US"/>
              </w:rPr>
              <w:t>N</w:t>
            </w:r>
            <w:r>
              <w:rPr>
                <w:sz w:val="13"/>
                <w:szCs w:val="13"/>
                <w:lang w:val="en-US"/>
              </w:rPr>
              <w:t>=8000, which corresponds with the precision required to assess prevalence for 0.2 (</w:t>
            </w:r>
            <w:r>
              <w:rPr>
                <w:i/>
                <w:sz w:val="13"/>
                <w:szCs w:val="13"/>
                <w:lang w:val="en-US"/>
              </w:rPr>
              <w:t>n</w:t>
            </w:r>
            <w:r>
              <w:rPr>
                <w:sz w:val="13"/>
                <w:szCs w:val="13"/>
                <w:lang w:val="en-US"/>
              </w:rPr>
              <w:t xml:space="preserve">=7668). This prevalence is the lowest one found in our pilot (for GDT). </w:t>
            </w:r>
          </w:p>
        </w:tc>
        <w:tc>
          <w:tcPr>
            <w:tcW w:w="1498" w:type="dxa"/>
            <w:tcBorders>
              <w:bottom w:val="single" w:sz="8" w:space="0" w:color="000000"/>
              <w:right w:val="single" w:sz="8" w:space="0" w:color="000000"/>
            </w:tcBorders>
          </w:tcPr>
          <w:p w14:paraId="25586BAD" w14:textId="77777777" w:rsidR="00737A59" w:rsidRDefault="00737A59">
            <w:pPr>
              <w:widowControl w:val="0"/>
              <w:jc w:val="both"/>
              <w:rPr>
                <w:sz w:val="13"/>
                <w:szCs w:val="13"/>
                <w:lang w:val="en-US"/>
              </w:rPr>
            </w:pPr>
          </w:p>
          <w:p w14:paraId="26CD10F7" w14:textId="77777777" w:rsidR="00737A59" w:rsidRDefault="00737A59">
            <w:pPr>
              <w:widowControl w:val="0"/>
              <w:jc w:val="both"/>
              <w:rPr>
                <w:sz w:val="13"/>
                <w:szCs w:val="13"/>
                <w:lang w:val="en-US"/>
              </w:rPr>
            </w:pPr>
          </w:p>
          <w:p w14:paraId="2E5E3188" w14:textId="77777777" w:rsidR="00737A59" w:rsidRDefault="00737A59">
            <w:pPr>
              <w:widowControl w:val="0"/>
              <w:jc w:val="both"/>
              <w:rPr>
                <w:sz w:val="13"/>
                <w:szCs w:val="13"/>
                <w:lang w:val="en-US"/>
              </w:rPr>
            </w:pPr>
          </w:p>
          <w:p w14:paraId="65069653" w14:textId="77777777" w:rsidR="00737A59" w:rsidRDefault="00737A59">
            <w:pPr>
              <w:widowControl w:val="0"/>
              <w:jc w:val="both"/>
              <w:rPr>
                <w:sz w:val="13"/>
                <w:szCs w:val="13"/>
                <w:lang w:val="en-US"/>
              </w:rPr>
            </w:pPr>
          </w:p>
          <w:p w14:paraId="5188FA40" w14:textId="77777777" w:rsidR="00737A59" w:rsidRDefault="00737A59">
            <w:pPr>
              <w:widowControl w:val="0"/>
              <w:jc w:val="both"/>
              <w:rPr>
                <w:sz w:val="13"/>
                <w:szCs w:val="13"/>
                <w:lang w:val="en-US"/>
              </w:rPr>
            </w:pPr>
          </w:p>
          <w:p w14:paraId="7169630B" w14:textId="77777777" w:rsidR="00737A59" w:rsidRDefault="00737A59">
            <w:pPr>
              <w:widowControl w:val="0"/>
              <w:jc w:val="both"/>
              <w:rPr>
                <w:sz w:val="13"/>
                <w:szCs w:val="13"/>
                <w:lang w:val="en-US"/>
              </w:rPr>
            </w:pPr>
          </w:p>
          <w:p w14:paraId="7BE4EBCC" w14:textId="03B2DDB1" w:rsidR="00737A59" w:rsidRPr="006B78C1" w:rsidRDefault="00737A59">
            <w:pPr>
              <w:widowControl w:val="0"/>
              <w:jc w:val="both"/>
              <w:rPr>
                <w:sz w:val="13"/>
                <w:szCs w:val="13"/>
                <w:lang w:val="en-US"/>
              </w:rPr>
            </w:pPr>
            <w:r>
              <w:rPr>
                <w:sz w:val="13"/>
                <w:szCs w:val="13"/>
                <w:lang w:val="en-US"/>
              </w:rPr>
              <w:t>We calculate prevalence rates and 95% confidence intervals with recommended cutoffs for the screening instruments. We apply the method described by Dienes: “</w:t>
            </w:r>
            <w:r w:rsidRPr="006B78C1">
              <w:rPr>
                <w:sz w:val="13"/>
                <w:szCs w:val="13"/>
                <w:lang w:val="en-US"/>
              </w:rPr>
              <w:t>If the CI lies mainly in the H0 interval</w:t>
            </w:r>
            <w:r>
              <w:rPr>
                <w:sz w:val="13"/>
                <w:szCs w:val="13"/>
                <w:lang w:val="en-US"/>
              </w:rPr>
              <w:t xml:space="preserve"> </w:t>
            </w:r>
            <w:r w:rsidRPr="006B78C1">
              <w:rPr>
                <w:sz w:val="13"/>
                <w:szCs w:val="13"/>
                <w:lang w:val="en-US"/>
              </w:rPr>
              <w:t xml:space="preserve">and the remaining minority only in the grey interval, one could accept H0; similarly, if the CI lies mainly in the H1 interval and the remaining minority only in the grey interval, accept H1; </w:t>
            </w:r>
            <w:proofErr w:type="gramStart"/>
            <w:r w:rsidRPr="006B78C1">
              <w:rPr>
                <w:sz w:val="13"/>
                <w:szCs w:val="13"/>
                <w:lang w:val="en-US"/>
              </w:rPr>
              <w:t>otherwise</w:t>
            </w:r>
            <w:proofErr w:type="gramEnd"/>
            <w:r w:rsidRPr="006B78C1">
              <w:rPr>
                <w:sz w:val="13"/>
                <w:szCs w:val="13"/>
                <w:lang w:val="en-US"/>
              </w:rPr>
              <w:t xml:space="preserve"> more data are needed</w:t>
            </w:r>
            <w:r>
              <w:rPr>
                <w:sz w:val="13"/>
                <w:szCs w:val="13"/>
                <w:lang w:val="en-US"/>
              </w:rPr>
              <w:t>” (2021, p. 9).</w:t>
            </w:r>
          </w:p>
        </w:tc>
        <w:tc>
          <w:tcPr>
            <w:tcW w:w="1455" w:type="dxa"/>
            <w:tcBorders>
              <w:bottom w:val="single" w:sz="8" w:space="0" w:color="000000"/>
              <w:right w:val="single" w:sz="8" w:space="0" w:color="000000"/>
            </w:tcBorders>
          </w:tcPr>
          <w:p w14:paraId="1836E1A8" w14:textId="77777777" w:rsidR="00737A59" w:rsidRDefault="00737A59">
            <w:pPr>
              <w:widowControl w:val="0"/>
              <w:jc w:val="both"/>
              <w:rPr>
                <w:sz w:val="13"/>
                <w:szCs w:val="13"/>
                <w:lang w:val="en-US"/>
              </w:rPr>
            </w:pPr>
          </w:p>
          <w:p w14:paraId="0C7B96EB" w14:textId="77777777" w:rsidR="00737A59" w:rsidRDefault="00737A59">
            <w:pPr>
              <w:widowControl w:val="0"/>
              <w:jc w:val="both"/>
              <w:rPr>
                <w:sz w:val="13"/>
                <w:szCs w:val="13"/>
                <w:lang w:val="en-US"/>
              </w:rPr>
            </w:pPr>
          </w:p>
          <w:p w14:paraId="7C596147" w14:textId="77777777" w:rsidR="00737A59" w:rsidRDefault="00737A59">
            <w:pPr>
              <w:widowControl w:val="0"/>
              <w:jc w:val="both"/>
              <w:rPr>
                <w:sz w:val="13"/>
                <w:szCs w:val="13"/>
                <w:lang w:val="en-US"/>
              </w:rPr>
            </w:pPr>
          </w:p>
          <w:p w14:paraId="0BF5CB92" w14:textId="77777777" w:rsidR="00737A59" w:rsidRDefault="00737A59">
            <w:pPr>
              <w:widowControl w:val="0"/>
              <w:jc w:val="both"/>
              <w:rPr>
                <w:sz w:val="13"/>
                <w:szCs w:val="13"/>
                <w:lang w:val="en-US"/>
              </w:rPr>
            </w:pPr>
          </w:p>
          <w:p w14:paraId="6F8F4D5E" w14:textId="77777777" w:rsidR="00737A59" w:rsidRDefault="00737A59">
            <w:pPr>
              <w:widowControl w:val="0"/>
              <w:jc w:val="both"/>
              <w:rPr>
                <w:sz w:val="13"/>
                <w:szCs w:val="13"/>
                <w:lang w:val="en-US"/>
              </w:rPr>
            </w:pPr>
          </w:p>
          <w:p w14:paraId="67980B3A" w14:textId="77777777" w:rsidR="00737A59" w:rsidRDefault="00737A59">
            <w:pPr>
              <w:widowControl w:val="0"/>
              <w:jc w:val="both"/>
              <w:rPr>
                <w:sz w:val="13"/>
                <w:szCs w:val="13"/>
                <w:lang w:val="en-US"/>
              </w:rPr>
            </w:pPr>
          </w:p>
          <w:p w14:paraId="4EF3A87B" w14:textId="77777777" w:rsidR="00737A59" w:rsidRDefault="00737A59">
            <w:pPr>
              <w:widowControl w:val="0"/>
              <w:jc w:val="both"/>
              <w:rPr>
                <w:sz w:val="13"/>
                <w:szCs w:val="13"/>
                <w:lang w:val="en-US"/>
              </w:rPr>
            </w:pPr>
          </w:p>
          <w:p w14:paraId="74934C8C" w14:textId="77777777" w:rsidR="00737A59" w:rsidRDefault="00737A59">
            <w:pPr>
              <w:widowControl w:val="0"/>
              <w:jc w:val="both"/>
              <w:rPr>
                <w:sz w:val="13"/>
                <w:szCs w:val="13"/>
                <w:lang w:val="en-US"/>
              </w:rPr>
            </w:pPr>
            <w:r>
              <w:rPr>
                <w:sz w:val="13"/>
                <w:szCs w:val="13"/>
                <w:lang w:val="en-US"/>
              </w:rPr>
              <w:t>All instruments have a different ontological basis. Significant differences between prevalence rate proportions would be some evidence for these ontological bases representing different constructs. No difference would be evidence for these ontological bases representing the same construct.</w:t>
            </w:r>
          </w:p>
        </w:tc>
        <w:tc>
          <w:tcPr>
            <w:tcW w:w="1573" w:type="dxa"/>
            <w:tcBorders>
              <w:bottom w:val="single" w:sz="8" w:space="0" w:color="000000"/>
              <w:right w:val="single" w:sz="8" w:space="0" w:color="000000"/>
            </w:tcBorders>
          </w:tcPr>
          <w:p w14:paraId="51EC9D34" w14:textId="77777777" w:rsidR="00737A59" w:rsidRDefault="00737A59">
            <w:pPr>
              <w:widowControl w:val="0"/>
              <w:jc w:val="both"/>
              <w:rPr>
                <w:sz w:val="13"/>
                <w:szCs w:val="13"/>
                <w:lang w:val="en-US"/>
              </w:rPr>
            </w:pPr>
          </w:p>
          <w:p w14:paraId="7D57C7F3" w14:textId="77777777" w:rsidR="00737A59" w:rsidRDefault="00737A59">
            <w:pPr>
              <w:widowControl w:val="0"/>
              <w:jc w:val="both"/>
              <w:rPr>
                <w:sz w:val="13"/>
                <w:szCs w:val="13"/>
                <w:lang w:val="en-US"/>
              </w:rPr>
            </w:pPr>
          </w:p>
          <w:p w14:paraId="2B9EC358" w14:textId="77777777" w:rsidR="00737A59" w:rsidRDefault="00737A59">
            <w:pPr>
              <w:widowControl w:val="0"/>
              <w:jc w:val="both"/>
              <w:rPr>
                <w:sz w:val="13"/>
                <w:szCs w:val="13"/>
                <w:lang w:val="en-US"/>
              </w:rPr>
            </w:pPr>
          </w:p>
          <w:p w14:paraId="04B8C96F" w14:textId="77777777" w:rsidR="00737A59" w:rsidRDefault="00737A59">
            <w:pPr>
              <w:widowControl w:val="0"/>
              <w:jc w:val="both"/>
              <w:rPr>
                <w:sz w:val="13"/>
                <w:szCs w:val="13"/>
                <w:lang w:val="en-US"/>
              </w:rPr>
            </w:pPr>
          </w:p>
          <w:p w14:paraId="26677FB0" w14:textId="77777777" w:rsidR="00F62C20" w:rsidRDefault="00F62C20">
            <w:pPr>
              <w:widowControl w:val="0"/>
              <w:jc w:val="both"/>
              <w:rPr>
                <w:sz w:val="13"/>
                <w:szCs w:val="13"/>
                <w:lang w:val="en-US"/>
              </w:rPr>
            </w:pPr>
          </w:p>
          <w:p w14:paraId="40145F39" w14:textId="24DA6225" w:rsidR="00737A59" w:rsidRDefault="00737A59">
            <w:pPr>
              <w:widowControl w:val="0"/>
              <w:jc w:val="both"/>
              <w:rPr>
                <w:sz w:val="13"/>
                <w:szCs w:val="13"/>
                <w:lang w:val="en-US"/>
              </w:rPr>
            </w:pPr>
            <w:r>
              <w:rPr>
                <w:sz w:val="13"/>
                <w:szCs w:val="13"/>
                <w:lang w:val="en-US"/>
              </w:rPr>
              <w:t xml:space="preserve">In each </w:t>
            </w:r>
            <w:proofErr w:type="gramStart"/>
            <w:r>
              <w:rPr>
                <w:sz w:val="13"/>
                <w:szCs w:val="13"/>
                <w:lang w:val="en-US"/>
              </w:rPr>
              <w:t>hypotheses</w:t>
            </w:r>
            <w:proofErr w:type="gramEnd"/>
            <w:r>
              <w:rPr>
                <w:sz w:val="13"/>
                <w:szCs w:val="13"/>
                <w:lang w:val="en-US"/>
              </w:rPr>
              <w:t xml:space="preserve">, we set the H0 interval to the </w:t>
            </w:r>
            <w:r w:rsidR="00DB6683">
              <w:rPr>
                <w:sz w:val="13"/>
                <w:szCs w:val="13"/>
                <w:lang w:val="en-US"/>
              </w:rPr>
              <w:t xml:space="preserve">lower bound of the smallest </w:t>
            </w:r>
            <w:r w:rsidR="00EE3C81">
              <w:rPr>
                <w:sz w:val="13"/>
                <w:szCs w:val="13"/>
                <w:lang w:val="en-US"/>
              </w:rPr>
              <w:t xml:space="preserve">obtained </w:t>
            </w:r>
            <w:r>
              <w:rPr>
                <w:sz w:val="13"/>
                <w:szCs w:val="13"/>
                <w:lang w:val="en-US"/>
              </w:rPr>
              <w:t xml:space="preserve">prevalence rate and the H1 interval </w:t>
            </w:r>
            <w:r w:rsidR="007C2D5F">
              <w:rPr>
                <w:sz w:val="13"/>
                <w:szCs w:val="13"/>
                <w:lang w:val="en-US"/>
              </w:rPr>
              <w:t>to x2 of its upper bound</w:t>
            </w:r>
            <w:r w:rsidR="00F62C20">
              <w:rPr>
                <w:sz w:val="13"/>
                <w:szCs w:val="13"/>
                <w:lang w:val="en-US"/>
              </w:rPr>
              <w:t xml:space="preserve">. </w:t>
            </w:r>
            <w:r>
              <w:rPr>
                <w:sz w:val="13"/>
                <w:szCs w:val="13"/>
                <w:lang w:val="en-US"/>
              </w:rPr>
              <w:t>If the confidence intervals of the</w:t>
            </w:r>
            <w:r w:rsidR="00F62C20">
              <w:rPr>
                <w:sz w:val="13"/>
                <w:szCs w:val="13"/>
                <w:lang w:val="en-US"/>
              </w:rPr>
              <w:t xml:space="preserve"> </w:t>
            </w:r>
            <w:r w:rsidR="00F62C20" w:rsidRPr="007C2D5F">
              <w:rPr>
                <w:i/>
                <w:iCs/>
                <w:sz w:val="13"/>
                <w:szCs w:val="13"/>
                <w:lang w:val="en-US"/>
              </w:rPr>
              <w:t>difference</w:t>
            </w:r>
            <w:r w:rsidR="007C2D5F">
              <w:rPr>
                <w:i/>
                <w:iCs/>
                <w:sz w:val="13"/>
                <w:szCs w:val="13"/>
                <w:lang w:val="en-US"/>
              </w:rPr>
              <w:t>s</w:t>
            </w:r>
            <w:r w:rsidR="007C2D5F" w:rsidRPr="007C2D5F">
              <w:rPr>
                <w:i/>
                <w:iCs/>
                <w:sz w:val="13"/>
                <w:szCs w:val="13"/>
                <w:lang w:val="en-US"/>
              </w:rPr>
              <w:t xml:space="preserve"> between compared prevalence rates</w:t>
            </w:r>
            <w:r w:rsidR="00F62C20">
              <w:rPr>
                <w:sz w:val="13"/>
                <w:szCs w:val="13"/>
                <w:lang w:val="en-US"/>
              </w:rPr>
              <w:t xml:space="preserve"> fall mainly to the H1 area</w:t>
            </w:r>
            <w:r>
              <w:rPr>
                <w:sz w:val="13"/>
                <w:szCs w:val="13"/>
                <w:lang w:val="en-US"/>
              </w:rPr>
              <w:t>, we consider H1a</w:t>
            </w:r>
            <w:r w:rsidR="00F62C20">
              <w:rPr>
                <w:sz w:val="13"/>
                <w:szCs w:val="13"/>
                <w:lang w:val="en-US"/>
              </w:rPr>
              <w:t>–d</w:t>
            </w:r>
            <w:r>
              <w:rPr>
                <w:sz w:val="13"/>
                <w:szCs w:val="13"/>
                <w:lang w:val="en-US"/>
              </w:rPr>
              <w:t xml:space="preserve"> corroborated</w:t>
            </w:r>
            <w:r w:rsidR="00F62C20">
              <w:rPr>
                <w:sz w:val="13"/>
                <w:szCs w:val="13"/>
                <w:lang w:val="en-US"/>
              </w:rPr>
              <w:t>. Null will be corroborated by the confidence interval</w:t>
            </w:r>
            <w:r w:rsidR="007C2D5F">
              <w:rPr>
                <w:sz w:val="13"/>
                <w:szCs w:val="13"/>
                <w:lang w:val="en-US"/>
              </w:rPr>
              <w:t>s</w:t>
            </w:r>
            <w:r w:rsidR="00F62C20">
              <w:rPr>
                <w:sz w:val="13"/>
                <w:szCs w:val="13"/>
                <w:lang w:val="en-US"/>
              </w:rPr>
              <w:t xml:space="preserve"> falling mainly to the H0 area. If the confidence interval falls mainly in the grey area between, none of the hypotheses are corroborated.</w:t>
            </w:r>
          </w:p>
        </w:tc>
        <w:tc>
          <w:tcPr>
            <w:tcW w:w="1801" w:type="dxa"/>
            <w:tcBorders>
              <w:bottom w:val="single" w:sz="8" w:space="0" w:color="000000"/>
              <w:right w:val="single" w:sz="8" w:space="0" w:color="000000"/>
            </w:tcBorders>
          </w:tcPr>
          <w:p w14:paraId="6895D483" w14:textId="77777777" w:rsidR="00737A59" w:rsidRDefault="00737A59">
            <w:pPr>
              <w:widowControl w:val="0"/>
              <w:jc w:val="both"/>
              <w:rPr>
                <w:sz w:val="13"/>
                <w:szCs w:val="13"/>
                <w:lang w:val="en-US"/>
              </w:rPr>
            </w:pPr>
          </w:p>
          <w:p w14:paraId="57069861" w14:textId="77777777" w:rsidR="00737A59" w:rsidRDefault="00737A59">
            <w:pPr>
              <w:widowControl w:val="0"/>
              <w:jc w:val="both"/>
              <w:rPr>
                <w:sz w:val="13"/>
                <w:szCs w:val="13"/>
                <w:lang w:val="en-US"/>
              </w:rPr>
            </w:pPr>
          </w:p>
          <w:p w14:paraId="3310A592" w14:textId="77777777" w:rsidR="00737A59" w:rsidRDefault="00737A59">
            <w:pPr>
              <w:widowControl w:val="0"/>
              <w:jc w:val="both"/>
              <w:rPr>
                <w:sz w:val="13"/>
                <w:szCs w:val="13"/>
                <w:lang w:val="en-US"/>
              </w:rPr>
            </w:pPr>
          </w:p>
          <w:p w14:paraId="20AC8DD6" w14:textId="77777777" w:rsidR="00737A59" w:rsidRDefault="00737A59">
            <w:pPr>
              <w:widowControl w:val="0"/>
              <w:jc w:val="both"/>
              <w:rPr>
                <w:sz w:val="13"/>
                <w:szCs w:val="13"/>
                <w:lang w:val="en-US"/>
              </w:rPr>
            </w:pPr>
          </w:p>
          <w:p w14:paraId="16C9FC46" w14:textId="77777777" w:rsidR="00737A59" w:rsidRDefault="00737A59">
            <w:pPr>
              <w:widowControl w:val="0"/>
              <w:jc w:val="both"/>
              <w:rPr>
                <w:sz w:val="13"/>
                <w:szCs w:val="13"/>
                <w:lang w:val="en-US"/>
              </w:rPr>
            </w:pPr>
          </w:p>
          <w:p w14:paraId="5DDFBF60" w14:textId="77777777" w:rsidR="00737A59" w:rsidRDefault="00737A59">
            <w:pPr>
              <w:widowControl w:val="0"/>
              <w:jc w:val="both"/>
              <w:rPr>
                <w:sz w:val="13"/>
                <w:szCs w:val="13"/>
                <w:lang w:val="en-US"/>
              </w:rPr>
            </w:pPr>
          </w:p>
          <w:p w14:paraId="6BBDBDAF" w14:textId="77777777" w:rsidR="00737A59" w:rsidRDefault="00737A59">
            <w:pPr>
              <w:widowControl w:val="0"/>
              <w:jc w:val="both"/>
              <w:rPr>
                <w:sz w:val="13"/>
                <w:szCs w:val="13"/>
                <w:lang w:val="en-US"/>
              </w:rPr>
            </w:pPr>
          </w:p>
          <w:p w14:paraId="6922CD6B" w14:textId="26F29C37" w:rsidR="00737A59" w:rsidRDefault="00737A59">
            <w:pPr>
              <w:widowControl w:val="0"/>
              <w:jc w:val="both"/>
              <w:rPr>
                <w:sz w:val="13"/>
                <w:szCs w:val="13"/>
                <w:lang w:val="en-US"/>
              </w:rPr>
            </w:pPr>
            <w:r>
              <w:rPr>
                <w:sz w:val="13"/>
                <w:szCs w:val="13"/>
                <w:lang w:val="en-US"/>
              </w:rPr>
              <w:t xml:space="preserve">H1 </w:t>
            </w:r>
            <w:r w:rsidR="00020257">
              <w:rPr>
                <w:sz w:val="13"/>
                <w:szCs w:val="13"/>
                <w:lang w:val="en-US"/>
              </w:rPr>
              <w:t xml:space="preserve">(if all sub hypotheses are corroborated) </w:t>
            </w:r>
            <w:r>
              <w:rPr>
                <w:sz w:val="13"/>
                <w:szCs w:val="13"/>
                <w:lang w:val="en-US"/>
              </w:rPr>
              <w:t xml:space="preserve">would support the position that the DSM-IV and/or </w:t>
            </w:r>
            <w:r w:rsidR="00595783">
              <w:rPr>
                <w:sz w:val="13"/>
                <w:szCs w:val="13"/>
                <w:lang w:val="en-US"/>
              </w:rPr>
              <w:t>S</w:t>
            </w:r>
            <w:r>
              <w:rPr>
                <w:sz w:val="13"/>
                <w:szCs w:val="13"/>
                <w:lang w:val="en-US"/>
              </w:rPr>
              <w:t xml:space="preserve">elf-assessment based “gaming disorder” constructs are different from those of ICD-11 and/or DSM-5, prevalence-wise. H0 </w:t>
            </w:r>
            <w:r w:rsidR="00020257">
              <w:rPr>
                <w:sz w:val="13"/>
                <w:szCs w:val="13"/>
                <w:lang w:val="en-US"/>
              </w:rPr>
              <w:t xml:space="preserve">(if all sub hypotheses are refuted) </w:t>
            </w:r>
            <w:r>
              <w:rPr>
                <w:sz w:val="13"/>
                <w:szCs w:val="13"/>
                <w:lang w:val="en-US"/>
              </w:rPr>
              <w:t xml:space="preserve">would support the similarity of the constructs, respectively. Both types of evidence would be theoretically meaningful. </w:t>
            </w:r>
            <w:r w:rsidR="00020257">
              <w:rPr>
                <w:sz w:val="13"/>
                <w:szCs w:val="13"/>
                <w:lang w:val="en-US"/>
              </w:rPr>
              <w:t xml:space="preserve">In case of mixed findings, we do not </w:t>
            </w:r>
            <w:r w:rsidR="00BE63B9">
              <w:rPr>
                <w:sz w:val="13"/>
                <w:szCs w:val="13"/>
                <w:lang w:val="en-US"/>
              </w:rPr>
              <w:t xml:space="preserve">draw full </w:t>
            </w:r>
            <w:r w:rsidR="00020257">
              <w:rPr>
                <w:sz w:val="13"/>
                <w:szCs w:val="13"/>
                <w:lang w:val="en-US"/>
              </w:rPr>
              <w:t>theoretical implications</w:t>
            </w:r>
            <w:r w:rsidR="00BE63B9">
              <w:rPr>
                <w:sz w:val="13"/>
                <w:szCs w:val="13"/>
                <w:lang w:val="en-US"/>
              </w:rPr>
              <w:t xml:space="preserve"> for H1 or H0</w:t>
            </w:r>
            <w:r w:rsidR="00020257">
              <w:rPr>
                <w:sz w:val="13"/>
                <w:szCs w:val="13"/>
                <w:lang w:val="en-US"/>
              </w:rPr>
              <w:t xml:space="preserve">. </w:t>
            </w:r>
          </w:p>
        </w:tc>
      </w:tr>
      <w:tr w:rsidR="00CE6598" w:rsidRPr="00D27FB4" w14:paraId="4CC58A77" w14:textId="77777777" w:rsidTr="00737A59">
        <w:trPr>
          <w:trHeight w:val="2190"/>
        </w:trPr>
        <w:tc>
          <w:tcPr>
            <w:tcW w:w="467" w:type="dxa"/>
            <w:tcBorders>
              <w:left w:val="single" w:sz="8" w:space="0" w:color="000000"/>
              <w:bottom w:val="single" w:sz="8" w:space="0" w:color="000000"/>
              <w:right w:val="single" w:sz="8" w:space="0" w:color="000000"/>
            </w:tcBorders>
          </w:tcPr>
          <w:p w14:paraId="3521AF9B" w14:textId="77777777" w:rsidR="00CE6598" w:rsidRDefault="00836E32">
            <w:pPr>
              <w:widowControl w:val="0"/>
              <w:jc w:val="both"/>
              <w:rPr>
                <w:b/>
                <w:sz w:val="14"/>
                <w:szCs w:val="14"/>
                <w:lang w:val="en-US"/>
              </w:rPr>
            </w:pPr>
            <w:r>
              <w:rPr>
                <w:b/>
                <w:sz w:val="14"/>
                <w:szCs w:val="14"/>
                <w:lang w:val="en-US"/>
              </w:rPr>
              <w:t>B</w:t>
            </w:r>
          </w:p>
        </w:tc>
        <w:tc>
          <w:tcPr>
            <w:tcW w:w="387" w:type="dxa"/>
            <w:tcBorders>
              <w:top w:val="single" w:sz="4" w:space="0" w:color="auto"/>
              <w:bottom w:val="single" w:sz="8" w:space="0" w:color="000000"/>
              <w:right w:val="single" w:sz="8" w:space="0" w:color="000000"/>
            </w:tcBorders>
          </w:tcPr>
          <w:p w14:paraId="685A9BFB" w14:textId="77777777" w:rsidR="00CE6598" w:rsidRDefault="00836E32">
            <w:pPr>
              <w:widowControl w:val="0"/>
              <w:jc w:val="both"/>
              <w:rPr>
                <w:b/>
                <w:sz w:val="14"/>
                <w:szCs w:val="14"/>
                <w:lang w:val="en-US"/>
              </w:rPr>
            </w:pPr>
            <w:r>
              <w:rPr>
                <w:b/>
                <w:sz w:val="14"/>
                <w:szCs w:val="14"/>
                <w:lang w:val="en-US"/>
              </w:rPr>
              <w:t>2a</w:t>
            </w:r>
          </w:p>
        </w:tc>
        <w:tc>
          <w:tcPr>
            <w:tcW w:w="1714" w:type="dxa"/>
            <w:vMerge w:val="restart"/>
            <w:tcBorders>
              <w:bottom w:val="single" w:sz="8" w:space="0" w:color="000000"/>
              <w:right w:val="single" w:sz="8" w:space="0" w:color="000000"/>
            </w:tcBorders>
          </w:tcPr>
          <w:p w14:paraId="771EE1BE" w14:textId="77777777" w:rsidR="00CE6598" w:rsidRDefault="00CE6598">
            <w:pPr>
              <w:widowControl w:val="0"/>
              <w:jc w:val="both"/>
              <w:rPr>
                <w:sz w:val="13"/>
                <w:szCs w:val="13"/>
                <w:lang w:val="en-US"/>
              </w:rPr>
            </w:pPr>
          </w:p>
          <w:p w14:paraId="76C735FF" w14:textId="77777777" w:rsidR="00CE6598" w:rsidRDefault="00CE6598">
            <w:pPr>
              <w:widowControl w:val="0"/>
              <w:rPr>
                <w:sz w:val="13"/>
                <w:szCs w:val="13"/>
                <w:lang w:val="en-US"/>
              </w:rPr>
            </w:pPr>
          </w:p>
          <w:p w14:paraId="536F8121" w14:textId="77777777" w:rsidR="00CE6598" w:rsidRDefault="00CE6598">
            <w:pPr>
              <w:widowControl w:val="0"/>
              <w:rPr>
                <w:sz w:val="13"/>
                <w:szCs w:val="13"/>
                <w:lang w:val="en-US"/>
              </w:rPr>
            </w:pPr>
          </w:p>
          <w:p w14:paraId="77B9B4D0" w14:textId="77777777" w:rsidR="00CE6598" w:rsidRDefault="00CE6598">
            <w:pPr>
              <w:widowControl w:val="0"/>
              <w:rPr>
                <w:sz w:val="13"/>
                <w:szCs w:val="13"/>
                <w:lang w:val="en-US"/>
              </w:rPr>
            </w:pPr>
          </w:p>
          <w:p w14:paraId="2A5A89FF" w14:textId="77777777" w:rsidR="00CE6598" w:rsidRDefault="00CE6598">
            <w:pPr>
              <w:widowControl w:val="0"/>
              <w:rPr>
                <w:sz w:val="13"/>
                <w:szCs w:val="13"/>
                <w:lang w:val="en-US"/>
              </w:rPr>
            </w:pPr>
          </w:p>
          <w:p w14:paraId="6E6CCDFB" w14:textId="77777777" w:rsidR="00CE6598" w:rsidRDefault="00CE6598">
            <w:pPr>
              <w:widowControl w:val="0"/>
              <w:rPr>
                <w:sz w:val="13"/>
                <w:szCs w:val="13"/>
                <w:lang w:val="en-US"/>
              </w:rPr>
            </w:pPr>
          </w:p>
          <w:p w14:paraId="5F2707EC" w14:textId="77777777" w:rsidR="00CE6598" w:rsidRDefault="00CE6598">
            <w:pPr>
              <w:widowControl w:val="0"/>
              <w:rPr>
                <w:sz w:val="13"/>
                <w:szCs w:val="13"/>
                <w:lang w:val="en-US"/>
              </w:rPr>
            </w:pPr>
          </w:p>
          <w:p w14:paraId="7767DEBE" w14:textId="77777777" w:rsidR="00CE6598" w:rsidRDefault="00CE6598">
            <w:pPr>
              <w:widowControl w:val="0"/>
              <w:rPr>
                <w:sz w:val="13"/>
                <w:szCs w:val="13"/>
                <w:lang w:val="en-US"/>
              </w:rPr>
            </w:pPr>
          </w:p>
          <w:p w14:paraId="66D92272" w14:textId="77777777" w:rsidR="00CE6598" w:rsidRDefault="00CE6598">
            <w:pPr>
              <w:widowControl w:val="0"/>
              <w:rPr>
                <w:sz w:val="13"/>
                <w:szCs w:val="13"/>
                <w:lang w:val="en-US"/>
              </w:rPr>
            </w:pPr>
          </w:p>
          <w:p w14:paraId="330B6055" w14:textId="77777777" w:rsidR="00CE6598" w:rsidRDefault="00CE6598">
            <w:pPr>
              <w:widowControl w:val="0"/>
              <w:rPr>
                <w:sz w:val="13"/>
                <w:szCs w:val="13"/>
                <w:lang w:val="en-US"/>
              </w:rPr>
            </w:pPr>
          </w:p>
          <w:p w14:paraId="567B6C74" w14:textId="77777777" w:rsidR="00CE6598" w:rsidRDefault="00CE6598">
            <w:pPr>
              <w:widowControl w:val="0"/>
              <w:rPr>
                <w:sz w:val="13"/>
                <w:szCs w:val="13"/>
                <w:lang w:val="en-US"/>
              </w:rPr>
            </w:pPr>
          </w:p>
          <w:p w14:paraId="57FC743B" w14:textId="77777777" w:rsidR="00CE6598" w:rsidRDefault="00CE6598">
            <w:pPr>
              <w:widowControl w:val="0"/>
              <w:rPr>
                <w:sz w:val="13"/>
                <w:szCs w:val="13"/>
                <w:lang w:val="en-US"/>
              </w:rPr>
            </w:pPr>
          </w:p>
          <w:p w14:paraId="0B03F053" w14:textId="77777777" w:rsidR="00CE6598" w:rsidRDefault="00CE6598">
            <w:pPr>
              <w:widowControl w:val="0"/>
              <w:rPr>
                <w:sz w:val="13"/>
                <w:szCs w:val="13"/>
                <w:lang w:val="en-US"/>
              </w:rPr>
            </w:pPr>
          </w:p>
          <w:p w14:paraId="3127616B" w14:textId="77777777" w:rsidR="00CE6598" w:rsidRDefault="00CE6598">
            <w:pPr>
              <w:widowControl w:val="0"/>
              <w:rPr>
                <w:sz w:val="13"/>
                <w:szCs w:val="13"/>
                <w:lang w:val="en-US"/>
              </w:rPr>
            </w:pPr>
          </w:p>
          <w:p w14:paraId="4ED1015D" w14:textId="77777777" w:rsidR="00CE6598" w:rsidRDefault="00836E32">
            <w:pPr>
              <w:widowControl w:val="0"/>
              <w:jc w:val="center"/>
              <w:rPr>
                <w:sz w:val="13"/>
                <w:szCs w:val="13"/>
                <w:lang w:val="en-US"/>
              </w:rPr>
            </w:pPr>
            <w:r>
              <w:rPr>
                <w:sz w:val="13"/>
                <w:szCs w:val="13"/>
                <w:lang w:val="en-US"/>
              </w:rPr>
              <w:t>N/A</w:t>
            </w:r>
          </w:p>
        </w:tc>
        <w:tc>
          <w:tcPr>
            <w:tcW w:w="1498" w:type="dxa"/>
            <w:vMerge w:val="restart"/>
            <w:tcBorders>
              <w:bottom w:val="single" w:sz="8" w:space="0" w:color="000000"/>
              <w:right w:val="single" w:sz="8" w:space="0" w:color="000000"/>
            </w:tcBorders>
          </w:tcPr>
          <w:p w14:paraId="1CFC67AE" w14:textId="77777777" w:rsidR="00C22B66" w:rsidRDefault="00C22B66" w:rsidP="00C22B66">
            <w:pPr>
              <w:widowControl w:val="0"/>
              <w:jc w:val="both"/>
              <w:rPr>
                <w:i/>
                <w:iCs/>
                <w:sz w:val="13"/>
                <w:szCs w:val="13"/>
                <w:lang w:val="en-US"/>
              </w:rPr>
            </w:pPr>
          </w:p>
          <w:p w14:paraId="2CB96009" w14:textId="77777777" w:rsidR="00C22B66" w:rsidRDefault="00C22B66" w:rsidP="00C22B66">
            <w:pPr>
              <w:widowControl w:val="0"/>
              <w:jc w:val="both"/>
              <w:rPr>
                <w:i/>
                <w:iCs/>
                <w:sz w:val="13"/>
                <w:szCs w:val="13"/>
                <w:lang w:val="en-US"/>
              </w:rPr>
            </w:pPr>
          </w:p>
          <w:p w14:paraId="1F7241CF" w14:textId="77777777" w:rsidR="00C22B66" w:rsidRDefault="00C22B66" w:rsidP="00C22B66">
            <w:pPr>
              <w:widowControl w:val="0"/>
              <w:jc w:val="both"/>
              <w:rPr>
                <w:i/>
                <w:iCs/>
                <w:sz w:val="13"/>
                <w:szCs w:val="13"/>
                <w:lang w:val="en-US"/>
              </w:rPr>
            </w:pPr>
          </w:p>
          <w:p w14:paraId="04BC54FA" w14:textId="77777777" w:rsidR="00C22B66" w:rsidRDefault="00C22B66" w:rsidP="00C22B66">
            <w:pPr>
              <w:widowControl w:val="0"/>
              <w:jc w:val="both"/>
              <w:rPr>
                <w:i/>
                <w:iCs/>
                <w:sz w:val="13"/>
                <w:szCs w:val="13"/>
                <w:lang w:val="en-US"/>
              </w:rPr>
            </w:pPr>
          </w:p>
          <w:p w14:paraId="5A6A028F" w14:textId="77777777" w:rsidR="00C22B66" w:rsidRDefault="00C22B66" w:rsidP="00C22B66">
            <w:pPr>
              <w:widowControl w:val="0"/>
              <w:jc w:val="both"/>
              <w:rPr>
                <w:i/>
                <w:iCs/>
                <w:sz w:val="13"/>
                <w:szCs w:val="13"/>
                <w:lang w:val="en-US"/>
              </w:rPr>
            </w:pPr>
          </w:p>
          <w:p w14:paraId="4DBB9E96" w14:textId="77777777" w:rsidR="00C22B66" w:rsidRDefault="00C22B66" w:rsidP="00C22B66">
            <w:pPr>
              <w:widowControl w:val="0"/>
              <w:jc w:val="both"/>
              <w:rPr>
                <w:i/>
                <w:iCs/>
                <w:sz w:val="13"/>
                <w:szCs w:val="13"/>
                <w:lang w:val="en-US"/>
              </w:rPr>
            </w:pPr>
          </w:p>
          <w:p w14:paraId="136CCA37" w14:textId="77777777" w:rsidR="00C22B66" w:rsidRDefault="00C22B66" w:rsidP="00C22B66">
            <w:pPr>
              <w:widowControl w:val="0"/>
              <w:jc w:val="both"/>
              <w:rPr>
                <w:i/>
                <w:iCs/>
                <w:sz w:val="13"/>
                <w:szCs w:val="13"/>
                <w:lang w:val="en-US"/>
              </w:rPr>
            </w:pPr>
          </w:p>
          <w:p w14:paraId="5590BB3A" w14:textId="77777777" w:rsidR="00C22B66" w:rsidRDefault="00C22B66" w:rsidP="00C22B66">
            <w:pPr>
              <w:widowControl w:val="0"/>
              <w:jc w:val="both"/>
              <w:rPr>
                <w:i/>
                <w:iCs/>
                <w:sz w:val="13"/>
                <w:szCs w:val="13"/>
                <w:lang w:val="en-US"/>
              </w:rPr>
            </w:pPr>
          </w:p>
          <w:p w14:paraId="07F68CB1" w14:textId="6A412AC6" w:rsidR="00CE6598" w:rsidRDefault="007C2D5F" w:rsidP="00C22B66">
            <w:pPr>
              <w:widowControl w:val="0"/>
              <w:jc w:val="both"/>
              <w:rPr>
                <w:sz w:val="13"/>
                <w:szCs w:val="13"/>
                <w:lang w:val="en-US"/>
              </w:rPr>
            </w:pPr>
            <w:r w:rsidRPr="00C22B66">
              <w:rPr>
                <w:sz w:val="13"/>
                <w:szCs w:val="13"/>
                <w:lang w:val="en-US"/>
              </w:rPr>
              <w:t xml:space="preserve">We test </w:t>
            </w:r>
            <w:r w:rsidRPr="007C2D5F">
              <w:rPr>
                <w:i/>
                <w:iCs/>
                <w:sz w:val="13"/>
                <w:szCs w:val="13"/>
                <w:lang w:val="en-US"/>
              </w:rPr>
              <w:t>P</w:t>
            </w:r>
            <w:r w:rsidRPr="006B78C1">
              <w:rPr>
                <w:sz w:val="13"/>
                <w:szCs w:val="13"/>
                <w:lang w:val="en-US"/>
              </w:rPr>
              <w:t>(</w:t>
            </w:r>
            <w:r w:rsidR="00340327">
              <w:rPr>
                <w:sz w:val="13"/>
                <w:szCs w:val="13"/>
                <w:lang w:val="en-US"/>
              </w:rPr>
              <w:t>DSM-5</w:t>
            </w:r>
            <w:r w:rsidRPr="006B78C1">
              <w:rPr>
                <w:sz w:val="13"/>
                <w:szCs w:val="13"/>
                <w:lang w:val="en-US"/>
              </w:rPr>
              <w:t>|</w:t>
            </w:r>
            <w:r w:rsidR="00340327">
              <w:rPr>
                <w:sz w:val="13"/>
                <w:szCs w:val="13"/>
                <w:lang w:val="en-US"/>
              </w:rPr>
              <w:t>ICD-</w:t>
            </w:r>
            <w:proofErr w:type="gramStart"/>
            <w:r w:rsidR="00340327">
              <w:rPr>
                <w:sz w:val="13"/>
                <w:szCs w:val="13"/>
                <w:lang w:val="en-US"/>
              </w:rPr>
              <w:t>11</w:t>
            </w:r>
            <w:r w:rsidRPr="007C2D5F">
              <w:rPr>
                <w:sz w:val="13"/>
                <w:szCs w:val="13"/>
                <w:lang w:val="en-US"/>
              </w:rPr>
              <w:t>)</w:t>
            </w:r>
            <w:r w:rsidRPr="006B78C1">
              <w:rPr>
                <w:sz w:val="13"/>
                <w:szCs w:val="13"/>
                <w:lang w:val="en-US"/>
              </w:rPr>
              <w:t>≈</w:t>
            </w:r>
            <w:proofErr w:type="gramEnd"/>
            <w:r w:rsidRPr="007C2D5F">
              <w:rPr>
                <w:iCs/>
                <w:sz w:val="13"/>
                <w:szCs w:val="13"/>
                <w:lang w:val="en-US"/>
              </w:rPr>
              <w:t xml:space="preserve">1 and </w:t>
            </w:r>
            <w:r w:rsidRPr="007C2D5F">
              <w:rPr>
                <w:i/>
                <w:sz w:val="13"/>
                <w:szCs w:val="13"/>
                <w:lang w:val="en-US"/>
              </w:rPr>
              <w:t>P</w:t>
            </w:r>
            <w:r w:rsidRPr="007C2D5F">
              <w:rPr>
                <w:iCs/>
                <w:sz w:val="13"/>
                <w:szCs w:val="13"/>
                <w:lang w:val="en-US"/>
              </w:rPr>
              <w:t>(</w:t>
            </w:r>
            <w:r w:rsidR="00340327">
              <w:rPr>
                <w:iCs/>
                <w:sz w:val="13"/>
                <w:szCs w:val="13"/>
                <w:lang w:val="en-US"/>
              </w:rPr>
              <w:t>DSM-5</w:t>
            </w:r>
            <w:r w:rsidRPr="007C2D5F">
              <w:rPr>
                <w:iCs/>
                <w:sz w:val="13"/>
                <w:szCs w:val="13"/>
                <w:lang w:val="en-US"/>
              </w:rPr>
              <w:t>+GDT</w:t>
            </w:r>
            <w:r w:rsidRPr="006B78C1">
              <w:rPr>
                <w:sz w:val="13"/>
                <w:szCs w:val="13"/>
                <w:lang w:val="en-US"/>
              </w:rPr>
              <w:t>|</w:t>
            </w:r>
            <w:r w:rsidR="00340327">
              <w:rPr>
                <w:sz w:val="13"/>
                <w:szCs w:val="13"/>
                <w:lang w:val="en-US"/>
              </w:rPr>
              <w:t>DSM-IV</w:t>
            </w:r>
            <w:r w:rsidRPr="007C2D5F">
              <w:rPr>
                <w:sz w:val="13"/>
                <w:szCs w:val="13"/>
                <w:lang w:val="en-US"/>
              </w:rPr>
              <w:t>)</w:t>
            </w:r>
            <w:r w:rsidRPr="006B78C1">
              <w:rPr>
                <w:sz w:val="13"/>
                <w:szCs w:val="13"/>
                <w:lang w:val="en-US"/>
              </w:rPr>
              <w:t>≈</w:t>
            </w:r>
            <w:r w:rsidRPr="007C2D5F">
              <w:rPr>
                <w:sz w:val="13"/>
                <w:szCs w:val="13"/>
                <w:lang w:val="en-US"/>
              </w:rPr>
              <w:t xml:space="preserve">1. </w:t>
            </w:r>
            <w:r w:rsidR="00C22B66">
              <w:rPr>
                <w:sz w:val="13"/>
                <w:szCs w:val="13"/>
                <w:lang w:val="en-US"/>
              </w:rPr>
              <w:t>To control Type 2 error, we</w:t>
            </w:r>
            <w:r w:rsidRPr="007C2D5F">
              <w:rPr>
                <w:sz w:val="13"/>
                <w:szCs w:val="13"/>
                <w:lang w:val="en-US"/>
              </w:rPr>
              <w:t xml:space="preserve"> allow variation by the lower bound of the binomial probability 50% confidence interval for the conditional probability </w:t>
            </w:r>
            <w:r w:rsidRPr="007C2D5F">
              <w:rPr>
                <w:i/>
                <w:iCs/>
                <w:sz w:val="13"/>
                <w:szCs w:val="13"/>
                <w:lang w:val="en-US"/>
              </w:rPr>
              <w:t>P</w:t>
            </w:r>
            <w:r w:rsidRPr="007C2D5F">
              <w:rPr>
                <w:sz w:val="13"/>
                <w:szCs w:val="13"/>
                <w:lang w:val="en-US"/>
              </w:rPr>
              <w:t>=1 (</w:t>
            </w:r>
            <w:r w:rsidR="00C22B66">
              <w:rPr>
                <w:sz w:val="13"/>
                <w:szCs w:val="13"/>
                <w:lang w:val="en-US"/>
              </w:rPr>
              <w:t xml:space="preserve">at </w:t>
            </w:r>
            <w:r w:rsidRPr="007C2D5F">
              <w:rPr>
                <w:sz w:val="13"/>
                <w:szCs w:val="13"/>
                <w:lang w:val="en-US"/>
              </w:rPr>
              <w:t>n=16/16; 0.917, 1). For possible null testing, we set the binomial probability confidence interval</w:t>
            </w:r>
            <w:r w:rsidRPr="007C2D5F" w:rsidDel="006016E6">
              <w:rPr>
                <w:sz w:val="13"/>
                <w:szCs w:val="13"/>
                <w:lang w:val="en-US"/>
              </w:rPr>
              <w:t xml:space="preserve"> </w:t>
            </w:r>
            <w:r w:rsidRPr="007C2D5F">
              <w:rPr>
                <w:sz w:val="13"/>
                <w:szCs w:val="13"/>
                <w:lang w:val="en-US"/>
              </w:rPr>
              <w:t xml:space="preserve">at 95% for the conditional probability </w:t>
            </w:r>
            <w:r w:rsidRPr="007C2D5F">
              <w:rPr>
                <w:i/>
                <w:iCs/>
                <w:sz w:val="13"/>
                <w:szCs w:val="13"/>
                <w:lang w:val="en-US"/>
              </w:rPr>
              <w:t>P</w:t>
            </w:r>
            <w:r w:rsidRPr="007C2D5F">
              <w:rPr>
                <w:sz w:val="13"/>
                <w:szCs w:val="13"/>
                <w:lang w:val="en-US"/>
              </w:rPr>
              <w:t xml:space="preserve">=1 (n=16/16; 0.794, 1). </w:t>
            </w:r>
          </w:p>
        </w:tc>
        <w:tc>
          <w:tcPr>
            <w:tcW w:w="1455" w:type="dxa"/>
            <w:tcBorders>
              <w:bottom w:val="single" w:sz="8" w:space="0" w:color="000000"/>
              <w:right w:val="single" w:sz="8" w:space="0" w:color="000000"/>
            </w:tcBorders>
          </w:tcPr>
          <w:p w14:paraId="78195246" w14:textId="2C3A5403" w:rsidR="00CE6598" w:rsidRDefault="00836E32">
            <w:pPr>
              <w:widowControl w:val="0"/>
              <w:jc w:val="both"/>
              <w:rPr>
                <w:sz w:val="13"/>
                <w:szCs w:val="13"/>
                <w:lang w:val="en-US"/>
              </w:rPr>
            </w:pPr>
            <w:r>
              <w:rPr>
                <w:sz w:val="13"/>
                <w:szCs w:val="13"/>
                <w:lang w:val="en-US"/>
              </w:rPr>
              <w:t xml:space="preserve">All instruments have a different ontological basis, but previous literature has shown 100% of those who meet ICD-11 based criteria to also meet DSM-5 criteria. We thus expect the </w:t>
            </w:r>
            <w:r w:rsidR="00340327">
              <w:rPr>
                <w:sz w:val="13"/>
                <w:szCs w:val="13"/>
                <w:lang w:val="en-US"/>
              </w:rPr>
              <w:t xml:space="preserve">ICD-11 </w:t>
            </w:r>
            <w:r w:rsidR="00E831E4">
              <w:rPr>
                <w:sz w:val="13"/>
                <w:szCs w:val="13"/>
                <w:lang w:val="en-US"/>
              </w:rPr>
              <w:t xml:space="preserve">criteria meeting </w:t>
            </w:r>
            <w:r>
              <w:rPr>
                <w:sz w:val="13"/>
                <w:szCs w:val="13"/>
                <w:lang w:val="en-US"/>
              </w:rPr>
              <w:t xml:space="preserve">group to also meet the </w:t>
            </w:r>
            <w:r w:rsidR="00340327">
              <w:rPr>
                <w:sz w:val="13"/>
                <w:szCs w:val="13"/>
                <w:lang w:val="en-US"/>
              </w:rPr>
              <w:t xml:space="preserve">DSM-5 </w:t>
            </w:r>
            <w:r>
              <w:rPr>
                <w:sz w:val="13"/>
                <w:szCs w:val="13"/>
                <w:lang w:val="en-US"/>
              </w:rPr>
              <w:t xml:space="preserve">cutoff. To control Type 2 error, we allow variation based on the </w:t>
            </w:r>
            <w:r w:rsidR="00F62C20">
              <w:rPr>
                <w:sz w:val="13"/>
                <w:szCs w:val="13"/>
                <w:lang w:val="en-US"/>
              </w:rPr>
              <w:t>50</w:t>
            </w:r>
            <w:r>
              <w:rPr>
                <w:sz w:val="13"/>
                <w:szCs w:val="13"/>
                <w:lang w:val="en-US"/>
              </w:rPr>
              <w:t xml:space="preserve">% confidence interval </w:t>
            </w:r>
            <w:r w:rsidR="00F62C20">
              <w:rPr>
                <w:sz w:val="13"/>
                <w:szCs w:val="13"/>
                <w:lang w:val="en-US"/>
              </w:rPr>
              <w:t xml:space="preserve">of </w:t>
            </w:r>
            <w:r w:rsidR="00F62C20" w:rsidRPr="00F62C20">
              <w:rPr>
                <w:i/>
                <w:iCs/>
                <w:sz w:val="13"/>
                <w:szCs w:val="13"/>
                <w:lang w:val="en-US"/>
              </w:rPr>
              <w:t>P</w:t>
            </w:r>
            <w:r w:rsidR="00F62C20">
              <w:rPr>
                <w:sz w:val="13"/>
                <w:szCs w:val="13"/>
                <w:lang w:val="en-US"/>
              </w:rPr>
              <w:t>=1</w:t>
            </w:r>
            <w:r w:rsidR="00C22B66">
              <w:rPr>
                <w:sz w:val="13"/>
                <w:szCs w:val="13"/>
                <w:lang w:val="en-US"/>
              </w:rPr>
              <w:t xml:space="preserve"> (at n=16/16; 0.917, 1)</w:t>
            </w:r>
            <w:r>
              <w:rPr>
                <w:sz w:val="13"/>
                <w:szCs w:val="13"/>
                <w:lang w:val="en-US"/>
              </w:rPr>
              <w:t>.</w:t>
            </w:r>
          </w:p>
        </w:tc>
        <w:tc>
          <w:tcPr>
            <w:tcW w:w="1573" w:type="dxa"/>
            <w:tcBorders>
              <w:bottom w:val="single" w:sz="8" w:space="0" w:color="000000"/>
              <w:right w:val="single" w:sz="8" w:space="0" w:color="000000"/>
            </w:tcBorders>
          </w:tcPr>
          <w:p w14:paraId="65FFE593" w14:textId="1B72B7DA" w:rsidR="00C22B66" w:rsidRDefault="00C22B66" w:rsidP="00C22B66">
            <w:pPr>
              <w:widowControl w:val="0"/>
              <w:jc w:val="both"/>
              <w:rPr>
                <w:sz w:val="13"/>
                <w:szCs w:val="13"/>
                <w:lang w:val="en-US"/>
              </w:rPr>
            </w:pPr>
            <w:r w:rsidRPr="007C2D5F">
              <w:rPr>
                <w:sz w:val="13"/>
                <w:szCs w:val="13"/>
                <w:lang w:val="en-US"/>
              </w:rPr>
              <w:t xml:space="preserve">If the obtained sample of </w:t>
            </w:r>
            <w:r w:rsidR="00340327">
              <w:rPr>
                <w:sz w:val="13"/>
                <w:szCs w:val="13"/>
                <w:lang w:val="en-US"/>
              </w:rPr>
              <w:t xml:space="preserve">ICD-11 </w:t>
            </w:r>
            <w:r w:rsidRPr="007C2D5F">
              <w:rPr>
                <w:sz w:val="13"/>
                <w:szCs w:val="13"/>
                <w:lang w:val="en-US"/>
              </w:rPr>
              <w:t>identified</w:t>
            </w:r>
            <w:r>
              <w:rPr>
                <w:sz w:val="13"/>
                <w:szCs w:val="13"/>
                <w:lang w:val="en-US"/>
              </w:rPr>
              <w:t xml:space="preserve"> </w:t>
            </w:r>
            <w:r w:rsidRPr="007C2D5F">
              <w:rPr>
                <w:sz w:val="13"/>
                <w:szCs w:val="13"/>
                <w:lang w:val="en-US"/>
              </w:rPr>
              <w:t xml:space="preserve">participants meets </w:t>
            </w:r>
            <w:r w:rsidRPr="007C2D5F">
              <w:rPr>
                <w:i/>
                <w:sz w:val="13"/>
                <w:szCs w:val="13"/>
                <w:lang w:val="en-US"/>
              </w:rPr>
              <w:t>P</w:t>
            </w:r>
            <w:r w:rsidRPr="007C2D5F">
              <w:rPr>
                <w:iCs/>
                <w:sz w:val="13"/>
                <w:szCs w:val="13"/>
                <w:lang w:val="en-US"/>
              </w:rPr>
              <w:t>(</w:t>
            </w:r>
            <w:r w:rsidR="00340327">
              <w:rPr>
                <w:iCs/>
                <w:sz w:val="13"/>
                <w:szCs w:val="13"/>
                <w:lang w:val="en-US"/>
              </w:rPr>
              <w:t>ICD-11</w:t>
            </w:r>
            <w:r w:rsidRPr="006B78C1">
              <w:rPr>
                <w:sz w:val="13"/>
                <w:szCs w:val="13"/>
                <w:lang w:val="en-US"/>
              </w:rPr>
              <w:t>|</w:t>
            </w:r>
            <w:r w:rsidR="00340327">
              <w:rPr>
                <w:sz w:val="13"/>
                <w:szCs w:val="13"/>
                <w:lang w:val="en-US"/>
              </w:rPr>
              <w:t>DSM-5</w:t>
            </w:r>
            <w:r w:rsidRPr="007C2D5F">
              <w:rPr>
                <w:sz w:val="13"/>
                <w:szCs w:val="13"/>
                <w:lang w:val="en-US"/>
              </w:rPr>
              <w:t xml:space="preserve">)&gt;0.917, we consider H2a corroborated and this as evidence for the ICD-11 and DSM-5 based constructs to be similar </w:t>
            </w:r>
            <w:r w:rsidR="00020257">
              <w:rPr>
                <w:sz w:val="13"/>
                <w:szCs w:val="13"/>
                <w:lang w:val="en-US"/>
              </w:rPr>
              <w:t>by</w:t>
            </w:r>
            <w:r w:rsidR="009E408B">
              <w:rPr>
                <w:sz w:val="13"/>
                <w:szCs w:val="13"/>
                <w:lang w:val="en-US"/>
              </w:rPr>
              <w:t xml:space="preserve"> overlap</w:t>
            </w:r>
            <w:r w:rsidRPr="007C2D5F">
              <w:rPr>
                <w:sz w:val="13"/>
                <w:szCs w:val="13"/>
                <w:lang w:val="en-US"/>
              </w:rPr>
              <w:t xml:space="preserve">. </w:t>
            </w:r>
            <w:r>
              <w:rPr>
                <w:sz w:val="13"/>
                <w:szCs w:val="13"/>
                <w:lang w:val="en-US"/>
              </w:rPr>
              <w:t xml:space="preserve"> </w:t>
            </w:r>
            <w:r w:rsidRPr="007C2D5F">
              <w:rPr>
                <w:sz w:val="13"/>
                <w:szCs w:val="13"/>
                <w:lang w:val="en-US"/>
              </w:rPr>
              <w:t>If the obtained sample of GDT-identified</w:t>
            </w:r>
            <w:r>
              <w:rPr>
                <w:sz w:val="13"/>
                <w:szCs w:val="13"/>
                <w:lang w:val="en-US"/>
              </w:rPr>
              <w:t xml:space="preserve"> </w:t>
            </w:r>
            <w:r w:rsidRPr="007C2D5F">
              <w:rPr>
                <w:sz w:val="13"/>
                <w:szCs w:val="13"/>
                <w:lang w:val="en-US"/>
              </w:rPr>
              <w:t xml:space="preserve">participants meets </w:t>
            </w:r>
            <w:r w:rsidRPr="007C2D5F">
              <w:rPr>
                <w:i/>
                <w:sz w:val="13"/>
                <w:szCs w:val="13"/>
                <w:lang w:val="en-US"/>
              </w:rPr>
              <w:t>P</w:t>
            </w:r>
            <w:r w:rsidRPr="007C2D5F">
              <w:rPr>
                <w:iCs/>
                <w:sz w:val="13"/>
                <w:szCs w:val="13"/>
                <w:lang w:val="en-US"/>
              </w:rPr>
              <w:t>(</w:t>
            </w:r>
            <w:r w:rsidR="00340327">
              <w:rPr>
                <w:iCs/>
                <w:sz w:val="13"/>
                <w:szCs w:val="13"/>
                <w:lang w:val="en-US"/>
              </w:rPr>
              <w:t>ICD-11</w:t>
            </w:r>
            <w:r w:rsidRPr="006B78C1">
              <w:rPr>
                <w:sz w:val="13"/>
                <w:szCs w:val="13"/>
                <w:lang w:val="en-US"/>
              </w:rPr>
              <w:t>|</w:t>
            </w:r>
            <w:r w:rsidR="00340327">
              <w:rPr>
                <w:sz w:val="13"/>
                <w:szCs w:val="13"/>
                <w:lang w:val="en-US"/>
              </w:rPr>
              <w:t>DSM-</w:t>
            </w:r>
            <w:proofErr w:type="gramStart"/>
            <w:r w:rsidR="00340327">
              <w:rPr>
                <w:sz w:val="13"/>
                <w:szCs w:val="13"/>
                <w:lang w:val="en-US"/>
              </w:rPr>
              <w:t>5</w:t>
            </w:r>
            <w:r w:rsidRPr="007C2D5F">
              <w:rPr>
                <w:sz w:val="13"/>
                <w:szCs w:val="13"/>
                <w:lang w:val="en-US"/>
              </w:rPr>
              <w:t>)&lt;</w:t>
            </w:r>
            <w:proofErr w:type="gramEnd"/>
            <w:r w:rsidRPr="007C2D5F">
              <w:rPr>
                <w:sz w:val="13"/>
                <w:szCs w:val="13"/>
                <w:lang w:val="en-US"/>
              </w:rPr>
              <w:t>0.794</w:t>
            </w:r>
            <w:r>
              <w:rPr>
                <w:sz w:val="13"/>
                <w:szCs w:val="13"/>
                <w:lang w:val="en-US"/>
              </w:rPr>
              <w:t>,</w:t>
            </w:r>
          </w:p>
          <w:p w14:paraId="7E7645C1" w14:textId="7D1BB4A7" w:rsidR="00CE6598" w:rsidRDefault="00836E32">
            <w:pPr>
              <w:widowControl w:val="0"/>
              <w:jc w:val="both"/>
              <w:rPr>
                <w:sz w:val="13"/>
                <w:szCs w:val="13"/>
                <w:lang w:val="en-US"/>
              </w:rPr>
            </w:pPr>
            <w:r>
              <w:rPr>
                <w:sz w:val="13"/>
                <w:szCs w:val="13"/>
                <w:lang w:val="en-US"/>
              </w:rPr>
              <w:t xml:space="preserve">we consider this as evidence for the ICD-11 and DSM-5 based constructs to be different </w:t>
            </w:r>
            <w:r w:rsidR="00020257">
              <w:rPr>
                <w:sz w:val="13"/>
                <w:szCs w:val="13"/>
                <w:lang w:val="en-US"/>
              </w:rPr>
              <w:t>by</w:t>
            </w:r>
            <w:r w:rsidR="009E408B">
              <w:rPr>
                <w:sz w:val="13"/>
                <w:szCs w:val="13"/>
                <w:lang w:val="en-US"/>
              </w:rPr>
              <w:t xml:space="preserve"> overlap</w:t>
            </w:r>
            <w:r>
              <w:rPr>
                <w:sz w:val="13"/>
                <w:szCs w:val="13"/>
                <w:lang w:val="en-US"/>
              </w:rPr>
              <w:t>.</w:t>
            </w:r>
          </w:p>
        </w:tc>
        <w:tc>
          <w:tcPr>
            <w:tcW w:w="1801" w:type="dxa"/>
            <w:vMerge w:val="restart"/>
            <w:tcBorders>
              <w:bottom w:val="single" w:sz="8" w:space="0" w:color="000000"/>
              <w:right w:val="single" w:sz="8" w:space="0" w:color="000000"/>
            </w:tcBorders>
          </w:tcPr>
          <w:p w14:paraId="1A5F06E9" w14:textId="77777777" w:rsidR="00CE6598" w:rsidRDefault="00CE6598">
            <w:pPr>
              <w:widowControl w:val="0"/>
              <w:jc w:val="both"/>
              <w:rPr>
                <w:sz w:val="13"/>
                <w:szCs w:val="13"/>
                <w:lang w:val="en-US"/>
              </w:rPr>
            </w:pPr>
          </w:p>
          <w:p w14:paraId="4A98CD9E" w14:textId="77777777" w:rsidR="00CE6598" w:rsidRDefault="00CE6598">
            <w:pPr>
              <w:widowControl w:val="0"/>
              <w:jc w:val="both"/>
              <w:rPr>
                <w:sz w:val="13"/>
                <w:szCs w:val="13"/>
                <w:lang w:val="en-US"/>
              </w:rPr>
            </w:pPr>
          </w:p>
          <w:p w14:paraId="63151058" w14:textId="77777777" w:rsidR="00CE6598" w:rsidRDefault="00CE6598">
            <w:pPr>
              <w:widowControl w:val="0"/>
              <w:jc w:val="both"/>
              <w:rPr>
                <w:sz w:val="13"/>
                <w:szCs w:val="13"/>
                <w:lang w:val="en-US"/>
              </w:rPr>
            </w:pPr>
          </w:p>
          <w:p w14:paraId="3A20FA07" w14:textId="77777777" w:rsidR="00CE6598" w:rsidRDefault="00CE6598">
            <w:pPr>
              <w:widowControl w:val="0"/>
              <w:jc w:val="both"/>
              <w:rPr>
                <w:sz w:val="13"/>
                <w:szCs w:val="13"/>
                <w:lang w:val="en-US"/>
              </w:rPr>
            </w:pPr>
          </w:p>
          <w:p w14:paraId="1E24B443" w14:textId="77777777" w:rsidR="00CE6598" w:rsidRDefault="00CE6598">
            <w:pPr>
              <w:widowControl w:val="0"/>
              <w:jc w:val="both"/>
              <w:rPr>
                <w:sz w:val="13"/>
                <w:szCs w:val="13"/>
                <w:lang w:val="en-US"/>
              </w:rPr>
            </w:pPr>
          </w:p>
          <w:p w14:paraId="01244064" w14:textId="77777777" w:rsidR="00CE6598" w:rsidRDefault="00CE6598">
            <w:pPr>
              <w:widowControl w:val="0"/>
              <w:jc w:val="both"/>
              <w:rPr>
                <w:sz w:val="13"/>
                <w:szCs w:val="13"/>
                <w:lang w:val="en-US"/>
              </w:rPr>
            </w:pPr>
          </w:p>
          <w:p w14:paraId="66C6EBD5" w14:textId="77777777" w:rsidR="00CE6598" w:rsidRDefault="00CE6598">
            <w:pPr>
              <w:widowControl w:val="0"/>
              <w:jc w:val="both"/>
              <w:rPr>
                <w:sz w:val="13"/>
                <w:szCs w:val="13"/>
                <w:lang w:val="en-US"/>
              </w:rPr>
            </w:pPr>
          </w:p>
          <w:p w14:paraId="78522A5C" w14:textId="77777777" w:rsidR="00CE6598" w:rsidRDefault="00CE6598">
            <w:pPr>
              <w:widowControl w:val="0"/>
              <w:jc w:val="both"/>
              <w:rPr>
                <w:sz w:val="13"/>
                <w:szCs w:val="13"/>
                <w:lang w:val="en-US"/>
              </w:rPr>
            </w:pPr>
          </w:p>
          <w:p w14:paraId="03300AE1" w14:textId="77777777" w:rsidR="00CE6598" w:rsidRDefault="00CE6598">
            <w:pPr>
              <w:widowControl w:val="0"/>
              <w:jc w:val="both"/>
              <w:rPr>
                <w:sz w:val="13"/>
                <w:szCs w:val="13"/>
                <w:lang w:val="en-US"/>
              </w:rPr>
            </w:pPr>
          </w:p>
          <w:p w14:paraId="651E0C2A" w14:textId="3703D14A" w:rsidR="00CE6598" w:rsidRDefault="00836E32">
            <w:pPr>
              <w:widowControl w:val="0"/>
              <w:jc w:val="both"/>
              <w:rPr>
                <w:sz w:val="13"/>
                <w:szCs w:val="13"/>
                <w:lang w:val="en-US"/>
              </w:rPr>
            </w:pPr>
            <w:r>
              <w:rPr>
                <w:sz w:val="13"/>
                <w:szCs w:val="13"/>
                <w:lang w:val="en-US"/>
              </w:rPr>
              <w:t xml:space="preserve">If both H2a and H2b are corroborated, this would be evidence for all ICD-11, DSM-5, and DSM-IV based constructs to </w:t>
            </w:r>
            <w:r w:rsidR="009E408B">
              <w:rPr>
                <w:sz w:val="13"/>
                <w:szCs w:val="13"/>
                <w:lang w:val="en-US"/>
              </w:rPr>
              <w:t>overlap</w:t>
            </w:r>
            <w:r>
              <w:rPr>
                <w:sz w:val="13"/>
                <w:szCs w:val="13"/>
                <w:lang w:val="en-US"/>
              </w:rPr>
              <w:t xml:space="preserve">. If H2a </w:t>
            </w:r>
            <w:r w:rsidR="00020257">
              <w:rPr>
                <w:sz w:val="13"/>
                <w:szCs w:val="13"/>
                <w:lang w:val="en-US"/>
              </w:rPr>
              <w:t xml:space="preserve">and </w:t>
            </w:r>
            <w:r>
              <w:rPr>
                <w:sz w:val="13"/>
                <w:szCs w:val="13"/>
                <w:lang w:val="en-US"/>
              </w:rPr>
              <w:t>H2b are not corroborated, this will be evidence for construct differences (three possible differences: ICD-11 vs DSM-5, ICD-11 vs DSM-IV, DSM-5 vs DSM-IV). Similarities support the singular “gaming disorder” construct and differences support the multiplicity thereof.</w:t>
            </w:r>
            <w:r w:rsidR="00BE63B9">
              <w:rPr>
                <w:sz w:val="13"/>
                <w:szCs w:val="13"/>
                <w:lang w:val="en-US"/>
              </w:rPr>
              <w:t xml:space="preserve"> In case of mixed findings, we do not draw full theoretical implications for H2 or H0.</w:t>
            </w:r>
          </w:p>
        </w:tc>
      </w:tr>
      <w:tr w:rsidR="00CE6598" w:rsidRPr="00D27FB4" w14:paraId="04AF42C1" w14:textId="77777777" w:rsidTr="00737A59">
        <w:trPr>
          <w:trHeight w:val="1905"/>
        </w:trPr>
        <w:tc>
          <w:tcPr>
            <w:tcW w:w="467" w:type="dxa"/>
            <w:tcBorders>
              <w:left w:val="single" w:sz="8" w:space="0" w:color="000000"/>
              <w:bottom w:val="single" w:sz="8" w:space="0" w:color="000000"/>
              <w:right w:val="single" w:sz="8" w:space="0" w:color="000000"/>
            </w:tcBorders>
          </w:tcPr>
          <w:p w14:paraId="515DD497" w14:textId="77777777" w:rsidR="00CE6598" w:rsidRDefault="00836E32">
            <w:pPr>
              <w:widowControl w:val="0"/>
              <w:jc w:val="both"/>
              <w:rPr>
                <w:b/>
                <w:sz w:val="14"/>
                <w:szCs w:val="14"/>
                <w:lang w:val="en-US"/>
              </w:rPr>
            </w:pPr>
            <w:r>
              <w:rPr>
                <w:b/>
                <w:sz w:val="14"/>
                <w:szCs w:val="14"/>
                <w:lang w:val="en-US"/>
              </w:rPr>
              <w:t>B</w:t>
            </w:r>
          </w:p>
        </w:tc>
        <w:tc>
          <w:tcPr>
            <w:tcW w:w="387" w:type="dxa"/>
            <w:tcBorders>
              <w:bottom w:val="single" w:sz="8" w:space="0" w:color="000000"/>
              <w:right w:val="single" w:sz="8" w:space="0" w:color="000000"/>
            </w:tcBorders>
          </w:tcPr>
          <w:p w14:paraId="17B18B23" w14:textId="77777777" w:rsidR="00CE6598" w:rsidRDefault="00836E32">
            <w:pPr>
              <w:widowControl w:val="0"/>
              <w:jc w:val="both"/>
              <w:rPr>
                <w:b/>
                <w:sz w:val="14"/>
                <w:szCs w:val="14"/>
                <w:lang w:val="en-US"/>
              </w:rPr>
            </w:pPr>
            <w:r>
              <w:rPr>
                <w:b/>
                <w:sz w:val="14"/>
                <w:szCs w:val="14"/>
                <w:lang w:val="en-US"/>
              </w:rPr>
              <w:t>2b</w:t>
            </w:r>
          </w:p>
        </w:tc>
        <w:tc>
          <w:tcPr>
            <w:tcW w:w="1714" w:type="dxa"/>
            <w:vMerge/>
            <w:tcBorders>
              <w:bottom w:val="single" w:sz="8" w:space="0" w:color="000000"/>
              <w:right w:val="single" w:sz="8" w:space="0" w:color="000000"/>
            </w:tcBorders>
          </w:tcPr>
          <w:p w14:paraId="11336EDF" w14:textId="77777777" w:rsidR="00CE6598" w:rsidRDefault="00CE6598">
            <w:pPr>
              <w:widowControl w:val="0"/>
              <w:rPr>
                <w:lang w:val="en-US"/>
              </w:rPr>
            </w:pPr>
          </w:p>
        </w:tc>
        <w:tc>
          <w:tcPr>
            <w:tcW w:w="1498" w:type="dxa"/>
            <w:vMerge/>
            <w:tcBorders>
              <w:bottom w:val="single" w:sz="8" w:space="0" w:color="000000"/>
              <w:right w:val="single" w:sz="8" w:space="0" w:color="000000"/>
            </w:tcBorders>
          </w:tcPr>
          <w:p w14:paraId="7D311A7A" w14:textId="77777777" w:rsidR="00CE6598" w:rsidRDefault="00CE6598">
            <w:pPr>
              <w:widowControl w:val="0"/>
              <w:jc w:val="both"/>
              <w:rPr>
                <w:sz w:val="13"/>
                <w:szCs w:val="13"/>
                <w:lang w:val="en-US"/>
              </w:rPr>
            </w:pPr>
          </w:p>
        </w:tc>
        <w:tc>
          <w:tcPr>
            <w:tcW w:w="1455" w:type="dxa"/>
            <w:tcBorders>
              <w:bottom w:val="single" w:sz="8" w:space="0" w:color="000000"/>
              <w:right w:val="single" w:sz="8" w:space="0" w:color="000000"/>
            </w:tcBorders>
          </w:tcPr>
          <w:p w14:paraId="5FD1C6BC" w14:textId="77777777" w:rsidR="00CE6598" w:rsidRDefault="00CE6598">
            <w:pPr>
              <w:widowControl w:val="0"/>
              <w:jc w:val="both"/>
              <w:rPr>
                <w:sz w:val="13"/>
                <w:szCs w:val="13"/>
                <w:lang w:val="en-US"/>
              </w:rPr>
            </w:pPr>
          </w:p>
          <w:p w14:paraId="0DC2036D" w14:textId="77777777" w:rsidR="00CE6598" w:rsidRDefault="00CE6598">
            <w:pPr>
              <w:widowControl w:val="0"/>
              <w:jc w:val="both"/>
              <w:rPr>
                <w:sz w:val="13"/>
                <w:szCs w:val="13"/>
                <w:lang w:val="en-US"/>
              </w:rPr>
            </w:pPr>
          </w:p>
          <w:p w14:paraId="670A1A01" w14:textId="5DE2D439" w:rsidR="00CE6598" w:rsidRDefault="00836E32">
            <w:pPr>
              <w:widowControl w:val="0"/>
              <w:jc w:val="both"/>
              <w:rPr>
                <w:sz w:val="13"/>
                <w:szCs w:val="13"/>
                <w:lang w:val="en-US"/>
              </w:rPr>
            </w:pPr>
            <w:r>
              <w:rPr>
                <w:sz w:val="13"/>
                <w:szCs w:val="13"/>
                <w:lang w:val="en-US"/>
              </w:rPr>
              <w:t xml:space="preserve">Our pilot indicates both ICD-11 and DSM-5 based groups to also meet DSM-IV criteria. We thus expect the </w:t>
            </w:r>
            <w:r w:rsidR="00340327">
              <w:rPr>
                <w:sz w:val="13"/>
                <w:szCs w:val="13"/>
                <w:lang w:val="en-US"/>
              </w:rPr>
              <w:t xml:space="preserve">ICD-11 </w:t>
            </w:r>
            <w:r>
              <w:rPr>
                <w:sz w:val="13"/>
                <w:szCs w:val="13"/>
                <w:lang w:val="en-US"/>
              </w:rPr>
              <w:t xml:space="preserve">and </w:t>
            </w:r>
            <w:r w:rsidR="00340327">
              <w:rPr>
                <w:sz w:val="13"/>
                <w:szCs w:val="13"/>
                <w:lang w:val="en-US"/>
              </w:rPr>
              <w:t xml:space="preserve">DSM-5 </w:t>
            </w:r>
            <w:r w:rsidR="00E831E4">
              <w:rPr>
                <w:sz w:val="13"/>
                <w:szCs w:val="13"/>
                <w:lang w:val="en-US"/>
              </w:rPr>
              <w:t xml:space="preserve">criteria meeting </w:t>
            </w:r>
            <w:r>
              <w:rPr>
                <w:sz w:val="13"/>
                <w:szCs w:val="13"/>
                <w:lang w:val="en-US"/>
              </w:rPr>
              <w:t xml:space="preserve">groups to also belong to the </w:t>
            </w:r>
            <w:r w:rsidR="00340327">
              <w:rPr>
                <w:sz w:val="13"/>
                <w:szCs w:val="13"/>
                <w:lang w:val="en-US"/>
              </w:rPr>
              <w:t xml:space="preserve">DSM-IV </w:t>
            </w:r>
            <w:r w:rsidR="00E831E4">
              <w:rPr>
                <w:sz w:val="13"/>
                <w:szCs w:val="13"/>
                <w:lang w:val="en-US"/>
              </w:rPr>
              <w:t xml:space="preserve">criteria meeting </w:t>
            </w:r>
            <w:r>
              <w:rPr>
                <w:sz w:val="13"/>
                <w:szCs w:val="13"/>
                <w:lang w:val="en-US"/>
              </w:rPr>
              <w:t xml:space="preserve">group (in the same way as above). </w:t>
            </w:r>
          </w:p>
        </w:tc>
        <w:tc>
          <w:tcPr>
            <w:tcW w:w="1573" w:type="dxa"/>
            <w:tcBorders>
              <w:bottom w:val="single" w:sz="8" w:space="0" w:color="000000"/>
              <w:right w:val="single" w:sz="8" w:space="0" w:color="000000"/>
            </w:tcBorders>
          </w:tcPr>
          <w:p w14:paraId="0994750E" w14:textId="77777777" w:rsidR="00CE6598" w:rsidRDefault="00CE6598">
            <w:pPr>
              <w:widowControl w:val="0"/>
              <w:jc w:val="both"/>
              <w:rPr>
                <w:sz w:val="13"/>
                <w:szCs w:val="13"/>
                <w:lang w:val="en-US"/>
              </w:rPr>
            </w:pPr>
          </w:p>
          <w:p w14:paraId="1F5B41A7" w14:textId="77777777" w:rsidR="00CE6598" w:rsidRDefault="00CE6598">
            <w:pPr>
              <w:widowControl w:val="0"/>
              <w:jc w:val="both"/>
              <w:rPr>
                <w:sz w:val="13"/>
                <w:szCs w:val="13"/>
                <w:lang w:val="en-US"/>
              </w:rPr>
            </w:pPr>
          </w:p>
          <w:p w14:paraId="0AF2538D" w14:textId="77777777" w:rsidR="00CE6598" w:rsidRDefault="00CE6598">
            <w:pPr>
              <w:widowControl w:val="0"/>
              <w:jc w:val="center"/>
              <w:rPr>
                <w:sz w:val="13"/>
                <w:szCs w:val="13"/>
                <w:lang w:val="en-US"/>
              </w:rPr>
            </w:pPr>
          </w:p>
          <w:p w14:paraId="0D7BFE53" w14:textId="77777777" w:rsidR="00CE6598" w:rsidRDefault="00CE6598">
            <w:pPr>
              <w:widowControl w:val="0"/>
              <w:jc w:val="center"/>
              <w:rPr>
                <w:sz w:val="13"/>
                <w:szCs w:val="13"/>
                <w:lang w:val="en-US"/>
              </w:rPr>
            </w:pPr>
          </w:p>
          <w:p w14:paraId="68D86F2C" w14:textId="77777777" w:rsidR="00CE6598" w:rsidRDefault="00CE6598">
            <w:pPr>
              <w:widowControl w:val="0"/>
              <w:jc w:val="center"/>
              <w:rPr>
                <w:sz w:val="13"/>
                <w:szCs w:val="13"/>
                <w:lang w:val="en-US"/>
              </w:rPr>
            </w:pPr>
          </w:p>
          <w:p w14:paraId="522DCD97" w14:textId="77777777" w:rsidR="00CE6598" w:rsidRDefault="00836E32">
            <w:pPr>
              <w:widowControl w:val="0"/>
              <w:jc w:val="center"/>
              <w:rPr>
                <w:sz w:val="13"/>
                <w:szCs w:val="13"/>
                <w:lang w:val="en-US"/>
              </w:rPr>
            </w:pPr>
            <w:r>
              <w:rPr>
                <w:sz w:val="13"/>
                <w:szCs w:val="13"/>
                <w:lang w:val="en-US"/>
              </w:rPr>
              <w:t>[Same as above, with GDT, IGDT10, GAS7]</w:t>
            </w:r>
          </w:p>
        </w:tc>
        <w:tc>
          <w:tcPr>
            <w:tcW w:w="1801" w:type="dxa"/>
            <w:vMerge/>
            <w:tcBorders>
              <w:bottom w:val="single" w:sz="8" w:space="0" w:color="000000"/>
              <w:right w:val="single" w:sz="8" w:space="0" w:color="000000"/>
            </w:tcBorders>
          </w:tcPr>
          <w:p w14:paraId="4234F531" w14:textId="77777777" w:rsidR="00CE6598" w:rsidRDefault="00CE6598">
            <w:pPr>
              <w:widowControl w:val="0"/>
              <w:jc w:val="both"/>
              <w:rPr>
                <w:sz w:val="13"/>
                <w:szCs w:val="13"/>
                <w:lang w:val="en-US"/>
              </w:rPr>
            </w:pPr>
          </w:p>
        </w:tc>
      </w:tr>
      <w:tr w:rsidR="00CE6598" w:rsidRPr="00D27FB4" w14:paraId="70A21043" w14:textId="77777777" w:rsidTr="00737A59">
        <w:trPr>
          <w:trHeight w:val="2040"/>
        </w:trPr>
        <w:tc>
          <w:tcPr>
            <w:tcW w:w="467" w:type="dxa"/>
            <w:tcBorders>
              <w:left w:val="single" w:sz="8" w:space="0" w:color="000000"/>
              <w:bottom w:val="single" w:sz="8" w:space="0" w:color="000000"/>
              <w:right w:val="single" w:sz="8" w:space="0" w:color="000000"/>
            </w:tcBorders>
          </w:tcPr>
          <w:p w14:paraId="52A09372" w14:textId="77777777" w:rsidR="00CE6598" w:rsidRDefault="00836E32">
            <w:pPr>
              <w:widowControl w:val="0"/>
              <w:jc w:val="both"/>
              <w:rPr>
                <w:b/>
                <w:sz w:val="14"/>
                <w:szCs w:val="14"/>
                <w:lang w:val="en-US"/>
              </w:rPr>
            </w:pPr>
            <w:r>
              <w:rPr>
                <w:b/>
                <w:sz w:val="14"/>
                <w:szCs w:val="14"/>
                <w:lang w:val="en-US"/>
              </w:rPr>
              <w:t>C</w:t>
            </w:r>
          </w:p>
        </w:tc>
        <w:tc>
          <w:tcPr>
            <w:tcW w:w="387" w:type="dxa"/>
            <w:tcBorders>
              <w:bottom w:val="single" w:sz="8" w:space="0" w:color="000000"/>
              <w:right w:val="single" w:sz="8" w:space="0" w:color="000000"/>
            </w:tcBorders>
          </w:tcPr>
          <w:p w14:paraId="75455221" w14:textId="77777777" w:rsidR="00CE6598" w:rsidRDefault="00836E32">
            <w:pPr>
              <w:widowControl w:val="0"/>
              <w:jc w:val="both"/>
              <w:rPr>
                <w:b/>
                <w:sz w:val="14"/>
                <w:szCs w:val="14"/>
                <w:lang w:val="en-US"/>
              </w:rPr>
            </w:pPr>
            <w:r>
              <w:rPr>
                <w:b/>
                <w:sz w:val="14"/>
                <w:szCs w:val="14"/>
                <w:lang w:val="en-US"/>
              </w:rPr>
              <w:t>3a</w:t>
            </w:r>
          </w:p>
        </w:tc>
        <w:tc>
          <w:tcPr>
            <w:tcW w:w="1714" w:type="dxa"/>
            <w:vMerge w:val="restart"/>
            <w:tcBorders>
              <w:bottom w:val="single" w:sz="8" w:space="0" w:color="000000"/>
              <w:right w:val="single" w:sz="8" w:space="0" w:color="000000"/>
            </w:tcBorders>
          </w:tcPr>
          <w:p w14:paraId="7F6CB465" w14:textId="5E934EBB" w:rsidR="00CE6598" w:rsidRDefault="00836E32">
            <w:pPr>
              <w:widowControl w:val="0"/>
              <w:jc w:val="both"/>
              <w:rPr>
                <w:sz w:val="13"/>
                <w:szCs w:val="13"/>
                <w:lang w:val="en-US"/>
              </w:rPr>
            </w:pPr>
            <w:r>
              <w:rPr>
                <w:sz w:val="13"/>
                <w:szCs w:val="13"/>
                <w:lang w:val="en-US"/>
              </w:rPr>
              <w:t xml:space="preserve">The sample size is based on a power analysis for the Welch t-test (one-sided). We expect that the size of the effect between the </w:t>
            </w:r>
            <w:r w:rsidR="00340327">
              <w:rPr>
                <w:sz w:val="13"/>
                <w:szCs w:val="13"/>
                <w:lang w:val="en-US"/>
              </w:rPr>
              <w:t xml:space="preserve">DSM-IV </w:t>
            </w:r>
            <w:proofErr w:type="gramStart"/>
            <w:r>
              <w:rPr>
                <w:sz w:val="13"/>
                <w:szCs w:val="13"/>
                <w:lang w:val="en-US"/>
              </w:rPr>
              <w:t>group</w:t>
            </w:r>
            <w:proofErr w:type="gramEnd"/>
            <w:r>
              <w:rPr>
                <w:sz w:val="13"/>
                <w:szCs w:val="13"/>
                <w:lang w:val="en-US"/>
              </w:rPr>
              <w:t xml:space="preserve"> and the rest of the sample will be approximately </w:t>
            </w:r>
            <w:r>
              <w:rPr>
                <w:i/>
                <w:sz w:val="13"/>
                <w:szCs w:val="13"/>
                <w:lang w:val="en-US"/>
              </w:rPr>
              <w:t>d</w:t>
            </w:r>
            <w:r>
              <w:rPr>
                <w:sz w:val="13"/>
                <w:szCs w:val="13"/>
                <w:lang w:val="en-US"/>
              </w:rPr>
              <w:t xml:space="preserve">=0.22–0.41 with GPH-2 and GMH-2. For the desired power level of 0.9, alpha set to 0.0125, and the expected sizes of the </w:t>
            </w:r>
            <w:r w:rsidR="00340327">
              <w:rPr>
                <w:sz w:val="13"/>
                <w:szCs w:val="13"/>
                <w:lang w:val="en-US"/>
              </w:rPr>
              <w:t xml:space="preserve">DSM-IV </w:t>
            </w:r>
            <w:r>
              <w:rPr>
                <w:sz w:val="13"/>
                <w:szCs w:val="13"/>
                <w:lang w:val="en-US"/>
              </w:rPr>
              <w:t xml:space="preserve">group </w:t>
            </w:r>
            <w:r>
              <w:rPr>
                <w:sz w:val="13"/>
                <w:szCs w:val="13"/>
                <w:lang w:val="en-US"/>
              </w:rPr>
              <w:lastRenderedPageBreak/>
              <w:t>(</w:t>
            </w:r>
            <w:r>
              <w:rPr>
                <w:i/>
                <w:iCs/>
                <w:sz w:val="13"/>
                <w:szCs w:val="13"/>
                <w:lang w:val="en-US"/>
              </w:rPr>
              <w:t>n</w:t>
            </w:r>
            <w:r>
              <w:rPr>
                <w:sz w:val="13"/>
                <w:szCs w:val="13"/>
                <w:lang w:val="en-US"/>
              </w:rPr>
              <w:t xml:space="preserve">=712 / 8.9%) and </w:t>
            </w:r>
            <w:r w:rsidR="00340327">
              <w:rPr>
                <w:sz w:val="13"/>
                <w:szCs w:val="13"/>
                <w:lang w:val="en-US"/>
              </w:rPr>
              <w:t xml:space="preserve">self-assessment </w:t>
            </w:r>
            <w:r>
              <w:rPr>
                <w:sz w:val="13"/>
                <w:szCs w:val="13"/>
                <w:lang w:val="en-US"/>
              </w:rPr>
              <w:t>group (</w:t>
            </w:r>
            <w:r>
              <w:rPr>
                <w:i/>
                <w:iCs/>
                <w:sz w:val="13"/>
                <w:szCs w:val="13"/>
                <w:lang w:val="en-US"/>
              </w:rPr>
              <w:t>n</w:t>
            </w:r>
            <w:r>
              <w:rPr>
                <w:sz w:val="13"/>
                <w:szCs w:val="13"/>
                <w:lang w:val="en-US"/>
              </w:rPr>
              <w:t xml:space="preserve">=192 / 2.4%) when the target sample size is </w:t>
            </w:r>
            <w:r>
              <w:rPr>
                <w:i/>
                <w:sz w:val="13"/>
                <w:szCs w:val="13"/>
                <w:lang w:val="en-US"/>
              </w:rPr>
              <w:t>N</w:t>
            </w:r>
            <w:r>
              <w:rPr>
                <w:sz w:val="13"/>
                <w:szCs w:val="13"/>
                <w:lang w:val="en-US"/>
              </w:rPr>
              <w:t xml:space="preserve">=8000, we have power to reliably detect </w:t>
            </w:r>
            <w:r>
              <w:rPr>
                <w:i/>
                <w:sz w:val="13"/>
                <w:szCs w:val="13"/>
                <w:lang w:val="en-US"/>
              </w:rPr>
              <w:t>d</w:t>
            </w:r>
            <w:r>
              <w:rPr>
                <w:sz w:val="13"/>
                <w:szCs w:val="13"/>
                <w:lang w:val="en-US"/>
              </w:rPr>
              <w:t xml:space="preserve">=0.138 and </w:t>
            </w:r>
            <w:r>
              <w:rPr>
                <w:i/>
                <w:sz w:val="13"/>
                <w:szCs w:val="13"/>
                <w:lang w:val="en-US"/>
              </w:rPr>
              <w:t>d</w:t>
            </w:r>
            <w:r>
              <w:rPr>
                <w:sz w:val="13"/>
                <w:szCs w:val="13"/>
                <w:lang w:val="en-US"/>
              </w:rPr>
              <w:t>=0.257, respectively. Although the latter does not meet our lowest effect size of interest (</w:t>
            </w:r>
            <w:r>
              <w:rPr>
                <w:i/>
                <w:sz w:val="13"/>
                <w:szCs w:val="13"/>
                <w:lang w:val="en-US"/>
              </w:rPr>
              <w:t>d</w:t>
            </w:r>
            <w:r>
              <w:rPr>
                <w:sz w:val="13"/>
                <w:szCs w:val="13"/>
                <w:lang w:val="en-US"/>
              </w:rPr>
              <w:t xml:space="preserve">=0.22), we have reason to believe that our prevalence rates will be higher. If the </w:t>
            </w:r>
            <w:r w:rsidR="00340327">
              <w:rPr>
                <w:sz w:val="13"/>
                <w:szCs w:val="13"/>
                <w:lang w:val="en-US"/>
              </w:rPr>
              <w:t xml:space="preserve">self-assessment </w:t>
            </w:r>
            <w:r w:rsidR="00E831E4">
              <w:rPr>
                <w:sz w:val="13"/>
                <w:szCs w:val="13"/>
                <w:lang w:val="en-US"/>
              </w:rPr>
              <w:t xml:space="preserve">criteria meeting </w:t>
            </w:r>
            <w:r>
              <w:rPr>
                <w:sz w:val="13"/>
                <w:szCs w:val="13"/>
                <w:lang w:val="en-US"/>
              </w:rPr>
              <w:t>group will be smaller than the one needed to detect the observed effect, we will not make inferences in H3b unless the upper bound of the effect’s confidence interval does not exceeds our smallest effect size of interest (which would support uninteresting effect).</w:t>
            </w:r>
          </w:p>
        </w:tc>
        <w:tc>
          <w:tcPr>
            <w:tcW w:w="1498" w:type="dxa"/>
            <w:vMerge w:val="restart"/>
            <w:tcBorders>
              <w:bottom w:val="single" w:sz="8" w:space="0" w:color="000000"/>
              <w:right w:val="single" w:sz="8" w:space="0" w:color="000000"/>
            </w:tcBorders>
          </w:tcPr>
          <w:p w14:paraId="08518300" w14:textId="77777777" w:rsidR="00CE6598" w:rsidRDefault="00CE6598">
            <w:pPr>
              <w:widowControl w:val="0"/>
              <w:jc w:val="both"/>
              <w:rPr>
                <w:sz w:val="13"/>
                <w:szCs w:val="13"/>
                <w:lang w:val="en-US"/>
              </w:rPr>
            </w:pPr>
          </w:p>
          <w:p w14:paraId="3A1B57AA" w14:textId="77777777" w:rsidR="00CE6598" w:rsidRDefault="00CE6598">
            <w:pPr>
              <w:widowControl w:val="0"/>
              <w:jc w:val="both"/>
              <w:rPr>
                <w:sz w:val="13"/>
                <w:szCs w:val="13"/>
                <w:lang w:val="en-US"/>
              </w:rPr>
            </w:pPr>
          </w:p>
          <w:p w14:paraId="45FEE53B" w14:textId="77777777" w:rsidR="00CE6598" w:rsidRDefault="00CE6598">
            <w:pPr>
              <w:widowControl w:val="0"/>
              <w:jc w:val="both"/>
              <w:rPr>
                <w:sz w:val="13"/>
                <w:szCs w:val="13"/>
                <w:lang w:val="en-US"/>
              </w:rPr>
            </w:pPr>
          </w:p>
          <w:p w14:paraId="5EACE56B" w14:textId="77777777" w:rsidR="00CE6598" w:rsidRDefault="00CE6598">
            <w:pPr>
              <w:widowControl w:val="0"/>
              <w:jc w:val="both"/>
              <w:rPr>
                <w:sz w:val="13"/>
                <w:szCs w:val="13"/>
                <w:lang w:val="en-US"/>
              </w:rPr>
            </w:pPr>
          </w:p>
          <w:p w14:paraId="29EA23AC" w14:textId="77777777" w:rsidR="00CE6598" w:rsidRDefault="00CE6598">
            <w:pPr>
              <w:widowControl w:val="0"/>
              <w:jc w:val="both"/>
              <w:rPr>
                <w:sz w:val="13"/>
                <w:szCs w:val="13"/>
                <w:lang w:val="en-US"/>
              </w:rPr>
            </w:pPr>
          </w:p>
          <w:p w14:paraId="1667433F" w14:textId="77777777" w:rsidR="00CE6598" w:rsidRDefault="00CE6598">
            <w:pPr>
              <w:widowControl w:val="0"/>
              <w:jc w:val="both"/>
              <w:rPr>
                <w:sz w:val="13"/>
                <w:szCs w:val="13"/>
                <w:lang w:val="en-US"/>
              </w:rPr>
            </w:pPr>
          </w:p>
          <w:p w14:paraId="128B7F7D" w14:textId="77777777" w:rsidR="00CE6598" w:rsidRDefault="00CE6598">
            <w:pPr>
              <w:widowControl w:val="0"/>
              <w:jc w:val="both"/>
              <w:rPr>
                <w:sz w:val="13"/>
                <w:szCs w:val="13"/>
                <w:lang w:val="en-US"/>
              </w:rPr>
            </w:pPr>
          </w:p>
          <w:p w14:paraId="0CA68959" w14:textId="77777777" w:rsidR="00CE6598" w:rsidRDefault="00CE6598">
            <w:pPr>
              <w:widowControl w:val="0"/>
              <w:jc w:val="both"/>
              <w:rPr>
                <w:sz w:val="13"/>
                <w:szCs w:val="13"/>
                <w:lang w:val="en-US"/>
              </w:rPr>
            </w:pPr>
          </w:p>
          <w:p w14:paraId="6BEFD1E1" w14:textId="77777777" w:rsidR="00CE6598" w:rsidRDefault="00CE6598">
            <w:pPr>
              <w:widowControl w:val="0"/>
              <w:jc w:val="both"/>
              <w:rPr>
                <w:sz w:val="13"/>
                <w:szCs w:val="13"/>
                <w:lang w:val="en-US"/>
              </w:rPr>
            </w:pPr>
          </w:p>
          <w:p w14:paraId="6A538791" w14:textId="77777777" w:rsidR="00CE6598" w:rsidRDefault="00CE6598">
            <w:pPr>
              <w:widowControl w:val="0"/>
              <w:jc w:val="both"/>
              <w:rPr>
                <w:sz w:val="13"/>
                <w:szCs w:val="13"/>
                <w:lang w:val="en-US"/>
              </w:rPr>
            </w:pPr>
          </w:p>
          <w:p w14:paraId="2184B5FF" w14:textId="2B5862A0" w:rsidR="00CE6598" w:rsidRDefault="00836E32">
            <w:pPr>
              <w:widowControl w:val="0"/>
              <w:jc w:val="both"/>
              <w:rPr>
                <w:sz w:val="13"/>
                <w:szCs w:val="13"/>
                <w:lang w:val="en-US"/>
              </w:rPr>
            </w:pPr>
            <w:r>
              <w:rPr>
                <w:sz w:val="13"/>
                <w:szCs w:val="13"/>
                <w:lang w:val="en-US"/>
              </w:rPr>
              <w:t xml:space="preserve">We compare the means of mental and physical health, measured by </w:t>
            </w:r>
            <w:r>
              <w:rPr>
                <w:sz w:val="13"/>
                <w:szCs w:val="13"/>
                <w:lang w:val="en-US"/>
              </w:rPr>
              <w:lastRenderedPageBreak/>
              <w:t xml:space="preserve">GPH-2 and GMH-2, between the </w:t>
            </w:r>
            <w:r w:rsidR="00340327">
              <w:rPr>
                <w:sz w:val="13"/>
                <w:szCs w:val="13"/>
                <w:lang w:val="en-US"/>
              </w:rPr>
              <w:t xml:space="preserve">DSM_IV </w:t>
            </w:r>
            <w:r>
              <w:rPr>
                <w:sz w:val="13"/>
                <w:szCs w:val="13"/>
                <w:lang w:val="en-US"/>
              </w:rPr>
              <w:t xml:space="preserve">group and the rest of the sample (two-tailed ANOVA). This is repeated with </w:t>
            </w:r>
            <w:r w:rsidR="00340327">
              <w:rPr>
                <w:sz w:val="13"/>
                <w:szCs w:val="13"/>
                <w:lang w:val="en-US"/>
              </w:rPr>
              <w:t>self-assessment criteria</w:t>
            </w:r>
            <w:r>
              <w:rPr>
                <w:sz w:val="13"/>
                <w:szCs w:val="13"/>
                <w:lang w:val="en-US"/>
              </w:rPr>
              <w:t>. We carry out the Welch t-test twice with a corresponding alpha level 0.025 (multiple comparison correction). In case of nonsignificant results, we continue with equivalence testing</w:t>
            </w:r>
            <w:r w:rsidR="00BA1E01">
              <w:rPr>
                <w:sz w:val="13"/>
                <w:szCs w:val="13"/>
                <w:lang w:val="en-US"/>
              </w:rPr>
              <w:t xml:space="preserve"> (as below)</w:t>
            </w:r>
            <w:r>
              <w:rPr>
                <w:sz w:val="13"/>
                <w:szCs w:val="13"/>
                <w:lang w:val="en-US"/>
              </w:rPr>
              <w:t xml:space="preserve">. </w:t>
            </w:r>
          </w:p>
        </w:tc>
        <w:tc>
          <w:tcPr>
            <w:tcW w:w="1455" w:type="dxa"/>
            <w:tcBorders>
              <w:bottom w:val="single" w:sz="8" w:space="0" w:color="000000"/>
              <w:right w:val="single" w:sz="8" w:space="0" w:color="000000"/>
            </w:tcBorders>
          </w:tcPr>
          <w:p w14:paraId="7B46B5D3" w14:textId="3BF20A83" w:rsidR="00CE6598" w:rsidRDefault="00BA1E01">
            <w:pPr>
              <w:widowControl w:val="0"/>
              <w:jc w:val="both"/>
              <w:rPr>
                <w:sz w:val="13"/>
                <w:szCs w:val="13"/>
                <w:lang w:val="en-US"/>
              </w:rPr>
            </w:pPr>
            <w:r>
              <w:rPr>
                <w:sz w:val="13"/>
                <w:szCs w:val="13"/>
                <w:lang w:val="en-US"/>
              </w:rPr>
              <w:lastRenderedPageBreak/>
              <w:t>Based on pilot data, w</w:t>
            </w:r>
            <w:r w:rsidR="00836E32">
              <w:rPr>
                <w:sz w:val="13"/>
                <w:szCs w:val="13"/>
                <w:lang w:val="en-US"/>
              </w:rPr>
              <w:t xml:space="preserve">e expect the </w:t>
            </w:r>
            <w:r w:rsidR="00340327">
              <w:rPr>
                <w:sz w:val="13"/>
                <w:szCs w:val="13"/>
                <w:lang w:val="en-US"/>
              </w:rPr>
              <w:t xml:space="preserve">DSM-IV </w:t>
            </w:r>
            <w:r w:rsidR="00E831E4">
              <w:rPr>
                <w:sz w:val="13"/>
                <w:szCs w:val="13"/>
                <w:lang w:val="en-US"/>
              </w:rPr>
              <w:t xml:space="preserve">criteria meeting </w:t>
            </w:r>
            <w:r w:rsidR="00836E32">
              <w:rPr>
                <w:sz w:val="13"/>
                <w:szCs w:val="13"/>
                <w:lang w:val="en-US"/>
              </w:rPr>
              <w:t xml:space="preserve">group to have lower general mental health than the remaining sample. Previous evidence and our pilot indicate the same for physical health, and we expect this, too. </w:t>
            </w:r>
          </w:p>
        </w:tc>
        <w:tc>
          <w:tcPr>
            <w:tcW w:w="1573" w:type="dxa"/>
            <w:tcBorders>
              <w:bottom w:val="single" w:sz="8" w:space="0" w:color="000000"/>
              <w:right w:val="single" w:sz="8" w:space="0" w:color="000000"/>
            </w:tcBorders>
          </w:tcPr>
          <w:p w14:paraId="62BA56B6" w14:textId="78CC51A3" w:rsidR="00CE6598" w:rsidRDefault="00836E32">
            <w:pPr>
              <w:widowControl w:val="0"/>
              <w:jc w:val="both"/>
              <w:rPr>
                <w:sz w:val="13"/>
                <w:szCs w:val="13"/>
                <w:lang w:val="en-US"/>
              </w:rPr>
            </w:pPr>
            <w:r>
              <w:rPr>
                <w:rFonts w:eastAsia="Gungsuh"/>
                <w:sz w:val="13"/>
                <w:szCs w:val="13"/>
                <w:lang w:val="en-US"/>
              </w:rPr>
              <w:t xml:space="preserve">If either the mental or physical health of the </w:t>
            </w:r>
            <w:r w:rsidR="00340327">
              <w:rPr>
                <w:rFonts w:eastAsia="Gungsuh"/>
                <w:sz w:val="13"/>
                <w:szCs w:val="13"/>
                <w:lang w:val="en-US"/>
              </w:rPr>
              <w:t xml:space="preserve">DSM-IV </w:t>
            </w:r>
            <w:r w:rsidR="00BA1E01">
              <w:rPr>
                <w:rFonts w:eastAsia="Gungsuh"/>
                <w:sz w:val="13"/>
                <w:szCs w:val="13"/>
                <w:lang w:val="en-US"/>
              </w:rPr>
              <w:t xml:space="preserve">based criteria meeting </w:t>
            </w:r>
            <w:r>
              <w:rPr>
                <w:rFonts w:eastAsia="Gungsuh"/>
                <w:sz w:val="13"/>
                <w:szCs w:val="13"/>
                <w:lang w:val="en-US"/>
              </w:rPr>
              <w:t>groups are significantly (d</w:t>
            </w:r>
            <w:r>
              <w:rPr>
                <w:rFonts w:eastAsia="Gungsuh"/>
                <w:i/>
                <w:sz w:val="13"/>
                <w:szCs w:val="13"/>
                <w:lang w:val="en-US"/>
              </w:rPr>
              <w:t>≥</w:t>
            </w:r>
            <w:r>
              <w:rPr>
                <w:rFonts w:eastAsia="Gungsuh"/>
                <w:sz w:val="13"/>
                <w:szCs w:val="13"/>
                <w:lang w:val="en-US"/>
              </w:rPr>
              <w:t xml:space="preserve">0.22 at alpha 0.025) lower than those of the rest of the sample, we consider H3a corroborated. A nonsignificant or below </w:t>
            </w:r>
            <w:r>
              <w:rPr>
                <w:i/>
                <w:sz w:val="13"/>
                <w:szCs w:val="13"/>
                <w:lang w:val="en-US"/>
              </w:rPr>
              <w:t>d</w:t>
            </w:r>
            <w:r>
              <w:rPr>
                <w:sz w:val="13"/>
                <w:szCs w:val="13"/>
                <w:lang w:val="en-US"/>
              </w:rPr>
              <w:t>=0.22 effect will not corroborate the H3a</w:t>
            </w:r>
            <w:r w:rsidR="00BA1E01">
              <w:rPr>
                <w:sz w:val="13"/>
                <w:szCs w:val="13"/>
                <w:lang w:val="en-US"/>
              </w:rPr>
              <w:t>.</w:t>
            </w:r>
            <w:r>
              <w:rPr>
                <w:sz w:val="13"/>
                <w:szCs w:val="13"/>
                <w:lang w:val="en-US"/>
              </w:rPr>
              <w:t xml:space="preserve"> </w:t>
            </w:r>
          </w:p>
        </w:tc>
        <w:tc>
          <w:tcPr>
            <w:tcW w:w="1801" w:type="dxa"/>
            <w:vMerge w:val="restart"/>
            <w:tcBorders>
              <w:bottom w:val="single" w:sz="8" w:space="0" w:color="000000"/>
              <w:right w:val="single" w:sz="8" w:space="0" w:color="000000"/>
            </w:tcBorders>
          </w:tcPr>
          <w:p w14:paraId="219D7616" w14:textId="77777777" w:rsidR="00CE6598" w:rsidRDefault="00CE6598">
            <w:pPr>
              <w:widowControl w:val="0"/>
              <w:jc w:val="both"/>
              <w:rPr>
                <w:sz w:val="13"/>
                <w:szCs w:val="13"/>
                <w:lang w:val="en-US"/>
              </w:rPr>
            </w:pPr>
          </w:p>
          <w:p w14:paraId="30C7E809" w14:textId="77777777" w:rsidR="00CE6598" w:rsidRDefault="00CE6598">
            <w:pPr>
              <w:widowControl w:val="0"/>
              <w:jc w:val="both"/>
              <w:rPr>
                <w:sz w:val="13"/>
                <w:szCs w:val="13"/>
                <w:lang w:val="en-US"/>
              </w:rPr>
            </w:pPr>
          </w:p>
          <w:p w14:paraId="001D6409" w14:textId="77777777" w:rsidR="00CE6598" w:rsidRDefault="00CE6598">
            <w:pPr>
              <w:widowControl w:val="0"/>
              <w:jc w:val="both"/>
              <w:rPr>
                <w:sz w:val="13"/>
                <w:szCs w:val="13"/>
                <w:lang w:val="en-US"/>
              </w:rPr>
            </w:pPr>
          </w:p>
          <w:p w14:paraId="02935AAE" w14:textId="77777777" w:rsidR="00CE6598" w:rsidRDefault="00CE6598">
            <w:pPr>
              <w:widowControl w:val="0"/>
              <w:jc w:val="both"/>
              <w:rPr>
                <w:sz w:val="13"/>
                <w:szCs w:val="13"/>
                <w:lang w:val="en-US"/>
              </w:rPr>
            </w:pPr>
          </w:p>
          <w:p w14:paraId="6A0A7B88" w14:textId="77777777" w:rsidR="00CE6598" w:rsidRDefault="00CE6598">
            <w:pPr>
              <w:widowControl w:val="0"/>
              <w:jc w:val="both"/>
              <w:rPr>
                <w:sz w:val="13"/>
                <w:szCs w:val="13"/>
                <w:lang w:val="en-US"/>
              </w:rPr>
            </w:pPr>
          </w:p>
          <w:p w14:paraId="2F321312" w14:textId="77777777" w:rsidR="00CE6598" w:rsidRDefault="00CE6598">
            <w:pPr>
              <w:widowControl w:val="0"/>
              <w:jc w:val="both"/>
              <w:rPr>
                <w:sz w:val="13"/>
                <w:szCs w:val="13"/>
                <w:lang w:val="en-US"/>
              </w:rPr>
            </w:pPr>
          </w:p>
          <w:p w14:paraId="2F126B10" w14:textId="7165DAB0" w:rsidR="00CE6598" w:rsidRDefault="00836E32">
            <w:pPr>
              <w:widowControl w:val="0"/>
              <w:jc w:val="both"/>
              <w:rPr>
                <w:sz w:val="13"/>
                <w:szCs w:val="13"/>
                <w:lang w:val="en-US"/>
              </w:rPr>
            </w:pPr>
            <w:r>
              <w:rPr>
                <w:sz w:val="13"/>
                <w:szCs w:val="13"/>
                <w:lang w:val="en-US"/>
              </w:rPr>
              <w:t xml:space="preserve">If corroborated, we consider that as evidence for the THL1 (self-assessed) or GAS7 (DSM-IV pathological gambling based) </w:t>
            </w:r>
            <w:r w:rsidR="00E831E4">
              <w:rPr>
                <w:sz w:val="13"/>
                <w:szCs w:val="13"/>
                <w:lang w:val="en-US"/>
              </w:rPr>
              <w:t xml:space="preserve">criteria meeting </w:t>
            </w:r>
            <w:r>
              <w:rPr>
                <w:sz w:val="13"/>
                <w:szCs w:val="13"/>
                <w:lang w:val="en-US"/>
              </w:rPr>
              <w:t xml:space="preserve">groups to have lowered mental and/or physical health (no </w:t>
            </w:r>
            <w:r>
              <w:rPr>
                <w:sz w:val="13"/>
                <w:szCs w:val="13"/>
                <w:lang w:val="en-US"/>
              </w:rPr>
              <w:lastRenderedPageBreak/>
              <w:t xml:space="preserve">causal interpretations). This would support the two instruments to measure one or more constructs, which are distinct health-wise in relation to the general population. Equivalence, in turn, would support equal health levels between those with “gaming disorder” in the two respective ontological domains and the general population. </w:t>
            </w:r>
          </w:p>
        </w:tc>
      </w:tr>
      <w:tr w:rsidR="00CE6598" w:rsidRPr="00D27FB4" w14:paraId="2962D74A" w14:textId="77777777" w:rsidTr="00737A59">
        <w:trPr>
          <w:trHeight w:val="2475"/>
        </w:trPr>
        <w:tc>
          <w:tcPr>
            <w:tcW w:w="467" w:type="dxa"/>
            <w:tcBorders>
              <w:left w:val="single" w:sz="8" w:space="0" w:color="000000"/>
              <w:bottom w:val="single" w:sz="8" w:space="0" w:color="000000"/>
              <w:right w:val="single" w:sz="8" w:space="0" w:color="000000"/>
            </w:tcBorders>
          </w:tcPr>
          <w:p w14:paraId="1456D72C" w14:textId="77777777" w:rsidR="00CE6598" w:rsidRDefault="00836E32">
            <w:pPr>
              <w:widowControl w:val="0"/>
              <w:jc w:val="both"/>
              <w:rPr>
                <w:b/>
                <w:sz w:val="14"/>
                <w:szCs w:val="14"/>
                <w:lang w:val="en-US"/>
              </w:rPr>
            </w:pPr>
            <w:r>
              <w:rPr>
                <w:b/>
                <w:sz w:val="14"/>
                <w:szCs w:val="14"/>
                <w:lang w:val="en-US"/>
              </w:rPr>
              <w:lastRenderedPageBreak/>
              <w:t>C</w:t>
            </w:r>
          </w:p>
        </w:tc>
        <w:tc>
          <w:tcPr>
            <w:tcW w:w="387" w:type="dxa"/>
            <w:tcBorders>
              <w:bottom w:val="single" w:sz="8" w:space="0" w:color="000000"/>
              <w:right w:val="single" w:sz="8" w:space="0" w:color="000000"/>
            </w:tcBorders>
          </w:tcPr>
          <w:p w14:paraId="62897E23" w14:textId="77777777" w:rsidR="00CE6598" w:rsidRDefault="00836E32">
            <w:pPr>
              <w:widowControl w:val="0"/>
              <w:jc w:val="both"/>
              <w:rPr>
                <w:b/>
                <w:sz w:val="14"/>
                <w:szCs w:val="14"/>
                <w:lang w:val="en-US"/>
              </w:rPr>
            </w:pPr>
            <w:r>
              <w:rPr>
                <w:b/>
                <w:sz w:val="14"/>
                <w:szCs w:val="14"/>
                <w:lang w:val="en-US"/>
              </w:rPr>
              <w:t>3b</w:t>
            </w:r>
          </w:p>
        </w:tc>
        <w:tc>
          <w:tcPr>
            <w:tcW w:w="1714" w:type="dxa"/>
            <w:vMerge/>
            <w:tcBorders>
              <w:bottom w:val="single" w:sz="8" w:space="0" w:color="000000"/>
              <w:right w:val="single" w:sz="8" w:space="0" w:color="000000"/>
            </w:tcBorders>
          </w:tcPr>
          <w:p w14:paraId="4FB8E5AC" w14:textId="77777777" w:rsidR="00CE6598" w:rsidRDefault="00CE6598">
            <w:pPr>
              <w:widowControl w:val="0"/>
              <w:jc w:val="both"/>
              <w:rPr>
                <w:sz w:val="13"/>
                <w:szCs w:val="13"/>
                <w:lang w:val="en-US"/>
              </w:rPr>
            </w:pPr>
          </w:p>
        </w:tc>
        <w:tc>
          <w:tcPr>
            <w:tcW w:w="1498" w:type="dxa"/>
            <w:vMerge/>
            <w:tcBorders>
              <w:bottom w:val="single" w:sz="8" w:space="0" w:color="000000"/>
              <w:right w:val="single" w:sz="8" w:space="0" w:color="000000"/>
            </w:tcBorders>
          </w:tcPr>
          <w:p w14:paraId="034FD2FA" w14:textId="77777777" w:rsidR="00CE6598" w:rsidRDefault="00CE6598">
            <w:pPr>
              <w:widowControl w:val="0"/>
              <w:jc w:val="both"/>
              <w:rPr>
                <w:sz w:val="13"/>
                <w:szCs w:val="13"/>
                <w:lang w:val="en-US"/>
              </w:rPr>
            </w:pPr>
          </w:p>
        </w:tc>
        <w:tc>
          <w:tcPr>
            <w:tcW w:w="1455" w:type="dxa"/>
            <w:tcBorders>
              <w:bottom w:val="single" w:sz="8" w:space="0" w:color="000000"/>
              <w:right w:val="single" w:sz="8" w:space="0" w:color="000000"/>
            </w:tcBorders>
          </w:tcPr>
          <w:p w14:paraId="285D6BFB" w14:textId="77777777" w:rsidR="00CE6598" w:rsidRDefault="00CE6598">
            <w:pPr>
              <w:widowControl w:val="0"/>
              <w:jc w:val="both"/>
              <w:rPr>
                <w:sz w:val="13"/>
                <w:szCs w:val="13"/>
                <w:lang w:val="en-US"/>
              </w:rPr>
            </w:pPr>
          </w:p>
          <w:p w14:paraId="230447A4" w14:textId="77777777" w:rsidR="00CE6598" w:rsidRDefault="00CE6598">
            <w:pPr>
              <w:widowControl w:val="0"/>
              <w:jc w:val="both"/>
              <w:rPr>
                <w:sz w:val="13"/>
                <w:szCs w:val="13"/>
                <w:lang w:val="en-US"/>
              </w:rPr>
            </w:pPr>
          </w:p>
          <w:p w14:paraId="763D25AF" w14:textId="77777777" w:rsidR="00CE6598" w:rsidRDefault="00CE6598">
            <w:pPr>
              <w:widowControl w:val="0"/>
              <w:jc w:val="both"/>
              <w:rPr>
                <w:sz w:val="13"/>
                <w:szCs w:val="13"/>
                <w:lang w:val="en-US"/>
              </w:rPr>
            </w:pPr>
          </w:p>
          <w:p w14:paraId="22DB92E0" w14:textId="77777777" w:rsidR="00CE6598" w:rsidRDefault="00CE6598">
            <w:pPr>
              <w:widowControl w:val="0"/>
              <w:jc w:val="both"/>
              <w:rPr>
                <w:sz w:val="13"/>
                <w:szCs w:val="13"/>
                <w:lang w:val="en-US"/>
              </w:rPr>
            </w:pPr>
          </w:p>
          <w:p w14:paraId="5C9E6F38" w14:textId="77777777" w:rsidR="00CE6598" w:rsidRDefault="00CE6598">
            <w:pPr>
              <w:widowControl w:val="0"/>
              <w:jc w:val="both"/>
              <w:rPr>
                <w:sz w:val="13"/>
                <w:szCs w:val="13"/>
                <w:lang w:val="en-US"/>
              </w:rPr>
            </w:pPr>
          </w:p>
          <w:p w14:paraId="451D9B00" w14:textId="77777777" w:rsidR="00CE6598" w:rsidRDefault="00CE6598">
            <w:pPr>
              <w:widowControl w:val="0"/>
              <w:jc w:val="both"/>
              <w:rPr>
                <w:sz w:val="13"/>
                <w:szCs w:val="13"/>
                <w:lang w:val="en-US"/>
              </w:rPr>
            </w:pPr>
          </w:p>
          <w:p w14:paraId="1BD018CF" w14:textId="2D43122D" w:rsidR="00CE6598" w:rsidRDefault="00836E32">
            <w:pPr>
              <w:widowControl w:val="0"/>
              <w:jc w:val="center"/>
              <w:rPr>
                <w:sz w:val="13"/>
                <w:szCs w:val="13"/>
                <w:lang w:val="en-US"/>
              </w:rPr>
            </w:pPr>
            <w:r>
              <w:rPr>
                <w:sz w:val="13"/>
                <w:szCs w:val="13"/>
                <w:lang w:val="en-US"/>
              </w:rPr>
              <w:t>[Same as above</w:t>
            </w:r>
            <w:r w:rsidR="00BA1E01">
              <w:rPr>
                <w:sz w:val="13"/>
                <w:szCs w:val="13"/>
                <w:lang w:val="en-US"/>
              </w:rPr>
              <w:t xml:space="preserve"> with mixed evidence</w:t>
            </w:r>
            <w:r>
              <w:rPr>
                <w:sz w:val="13"/>
                <w:szCs w:val="13"/>
                <w:lang w:val="en-US"/>
              </w:rPr>
              <w:t xml:space="preserve"> </w:t>
            </w:r>
            <w:r w:rsidR="00BA1E01">
              <w:rPr>
                <w:sz w:val="13"/>
                <w:szCs w:val="13"/>
                <w:lang w:val="en-US"/>
              </w:rPr>
              <w:t>for</w:t>
            </w:r>
            <w:r>
              <w:rPr>
                <w:sz w:val="13"/>
                <w:szCs w:val="13"/>
                <w:lang w:val="en-US"/>
              </w:rPr>
              <w:t xml:space="preserve"> THL1]</w:t>
            </w:r>
          </w:p>
        </w:tc>
        <w:tc>
          <w:tcPr>
            <w:tcW w:w="1573" w:type="dxa"/>
            <w:tcBorders>
              <w:bottom w:val="single" w:sz="8" w:space="0" w:color="000000"/>
              <w:right w:val="single" w:sz="8" w:space="0" w:color="000000"/>
            </w:tcBorders>
          </w:tcPr>
          <w:p w14:paraId="19546D75" w14:textId="77777777" w:rsidR="00CE6598" w:rsidRDefault="00CE6598">
            <w:pPr>
              <w:widowControl w:val="0"/>
              <w:jc w:val="both"/>
              <w:rPr>
                <w:sz w:val="13"/>
                <w:szCs w:val="13"/>
                <w:lang w:val="en-US"/>
              </w:rPr>
            </w:pPr>
          </w:p>
          <w:p w14:paraId="56F7D414" w14:textId="77777777" w:rsidR="00CE6598" w:rsidRDefault="00CE6598">
            <w:pPr>
              <w:widowControl w:val="0"/>
              <w:jc w:val="both"/>
              <w:rPr>
                <w:sz w:val="13"/>
                <w:szCs w:val="13"/>
                <w:lang w:val="en-US"/>
              </w:rPr>
            </w:pPr>
          </w:p>
          <w:p w14:paraId="7C8FF467" w14:textId="77777777" w:rsidR="00CE6598" w:rsidRDefault="00CE6598">
            <w:pPr>
              <w:widowControl w:val="0"/>
              <w:jc w:val="both"/>
              <w:rPr>
                <w:sz w:val="13"/>
                <w:szCs w:val="13"/>
                <w:lang w:val="en-US"/>
              </w:rPr>
            </w:pPr>
          </w:p>
          <w:p w14:paraId="39A01E43" w14:textId="77777777" w:rsidR="00CE6598" w:rsidRDefault="00CE6598">
            <w:pPr>
              <w:widowControl w:val="0"/>
              <w:jc w:val="both"/>
              <w:rPr>
                <w:sz w:val="13"/>
                <w:szCs w:val="13"/>
                <w:lang w:val="en-US"/>
              </w:rPr>
            </w:pPr>
          </w:p>
          <w:p w14:paraId="4EB5BA25" w14:textId="77777777" w:rsidR="00CE6598" w:rsidRDefault="00CE6598">
            <w:pPr>
              <w:widowControl w:val="0"/>
              <w:jc w:val="both"/>
              <w:rPr>
                <w:sz w:val="13"/>
                <w:szCs w:val="13"/>
                <w:lang w:val="en-US"/>
              </w:rPr>
            </w:pPr>
          </w:p>
          <w:p w14:paraId="2CB2F40F" w14:textId="77777777" w:rsidR="00CE6598" w:rsidRDefault="00CE6598">
            <w:pPr>
              <w:widowControl w:val="0"/>
              <w:jc w:val="both"/>
              <w:rPr>
                <w:sz w:val="13"/>
                <w:szCs w:val="13"/>
                <w:lang w:val="en-US"/>
              </w:rPr>
            </w:pPr>
          </w:p>
          <w:p w14:paraId="6849BC63" w14:textId="011D069E" w:rsidR="00CE6598" w:rsidRDefault="00836E32">
            <w:pPr>
              <w:widowControl w:val="0"/>
              <w:jc w:val="both"/>
              <w:rPr>
                <w:sz w:val="13"/>
                <w:szCs w:val="13"/>
                <w:lang w:val="en-US"/>
              </w:rPr>
            </w:pPr>
            <w:r>
              <w:rPr>
                <w:sz w:val="13"/>
                <w:szCs w:val="13"/>
                <w:lang w:val="en-US"/>
              </w:rPr>
              <w:t>Same as above with THL1</w:t>
            </w:r>
            <w:r w:rsidR="00BA1E01">
              <w:rPr>
                <w:sz w:val="13"/>
                <w:szCs w:val="13"/>
                <w:lang w:val="en-US"/>
              </w:rPr>
              <w:t>, where equivalence testing can support the null.</w:t>
            </w:r>
            <w:r>
              <w:rPr>
                <w:sz w:val="13"/>
                <w:szCs w:val="13"/>
                <w:lang w:val="en-US"/>
              </w:rPr>
              <w:t>]</w:t>
            </w:r>
          </w:p>
        </w:tc>
        <w:tc>
          <w:tcPr>
            <w:tcW w:w="1801" w:type="dxa"/>
            <w:vMerge/>
            <w:tcBorders>
              <w:bottom w:val="single" w:sz="8" w:space="0" w:color="000000"/>
              <w:right w:val="single" w:sz="8" w:space="0" w:color="000000"/>
            </w:tcBorders>
          </w:tcPr>
          <w:p w14:paraId="6FCD131B" w14:textId="77777777" w:rsidR="00CE6598" w:rsidRDefault="00CE6598">
            <w:pPr>
              <w:widowControl w:val="0"/>
              <w:jc w:val="both"/>
              <w:rPr>
                <w:sz w:val="13"/>
                <w:szCs w:val="13"/>
                <w:lang w:val="en-US"/>
              </w:rPr>
            </w:pPr>
          </w:p>
        </w:tc>
      </w:tr>
      <w:tr w:rsidR="00CE6598" w:rsidRPr="00D27FB4" w14:paraId="73270327" w14:textId="77777777" w:rsidTr="00737A59">
        <w:trPr>
          <w:trHeight w:val="1905"/>
        </w:trPr>
        <w:tc>
          <w:tcPr>
            <w:tcW w:w="467" w:type="dxa"/>
            <w:tcBorders>
              <w:left w:val="single" w:sz="8" w:space="0" w:color="000000"/>
              <w:bottom w:val="single" w:sz="8" w:space="0" w:color="000000"/>
              <w:right w:val="single" w:sz="8" w:space="0" w:color="000000"/>
            </w:tcBorders>
          </w:tcPr>
          <w:p w14:paraId="4FE9FBB0" w14:textId="77777777" w:rsidR="00CE6598" w:rsidRDefault="00836E32">
            <w:pPr>
              <w:widowControl w:val="0"/>
              <w:jc w:val="both"/>
              <w:rPr>
                <w:b/>
                <w:sz w:val="14"/>
                <w:szCs w:val="14"/>
                <w:lang w:val="en-US"/>
              </w:rPr>
            </w:pPr>
            <w:r>
              <w:rPr>
                <w:b/>
                <w:sz w:val="14"/>
                <w:szCs w:val="14"/>
                <w:lang w:val="en-US"/>
              </w:rPr>
              <w:t>C</w:t>
            </w:r>
          </w:p>
        </w:tc>
        <w:tc>
          <w:tcPr>
            <w:tcW w:w="387" w:type="dxa"/>
            <w:tcBorders>
              <w:bottom w:val="single" w:sz="8" w:space="0" w:color="000000"/>
              <w:right w:val="single" w:sz="8" w:space="0" w:color="000000"/>
            </w:tcBorders>
          </w:tcPr>
          <w:p w14:paraId="5E69658E" w14:textId="77777777" w:rsidR="00CE6598" w:rsidRDefault="00836E32">
            <w:pPr>
              <w:widowControl w:val="0"/>
              <w:jc w:val="both"/>
              <w:rPr>
                <w:b/>
                <w:sz w:val="14"/>
                <w:szCs w:val="14"/>
                <w:lang w:val="en-US"/>
              </w:rPr>
            </w:pPr>
            <w:r>
              <w:rPr>
                <w:b/>
                <w:sz w:val="14"/>
                <w:szCs w:val="14"/>
                <w:lang w:val="en-US"/>
              </w:rPr>
              <w:t>3c</w:t>
            </w:r>
          </w:p>
        </w:tc>
        <w:tc>
          <w:tcPr>
            <w:tcW w:w="1714" w:type="dxa"/>
            <w:tcBorders>
              <w:bottom w:val="single" w:sz="8" w:space="0" w:color="000000"/>
              <w:right w:val="single" w:sz="8" w:space="0" w:color="000000"/>
            </w:tcBorders>
          </w:tcPr>
          <w:p w14:paraId="0C69D187" w14:textId="77777777" w:rsidR="00CE6598" w:rsidRDefault="00CE6598">
            <w:pPr>
              <w:widowControl w:val="0"/>
              <w:jc w:val="both"/>
              <w:rPr>
                <w:sz w:val="13"/>
                <w:szCs w:val="13"/>
                <w:lang w:val="en-US"/>
              </w:rPr>
            </w:pPr>
          </w:p>
          <w:p w14:paraId="5297F2D2" w14:textId="77777777" w:rsidR="00CE6598" w:rsidRDefault="00CE6598">
            <w:pPr>
              <w:widowControl w:val="0"/>
              <w:jc w:val="both"/>
              <w:rPr>
                <w:sz w:val="13"/>
                <w:szCs w:val="13"/>
                <w:lang w:val="en-US"/>
              </w:rPr>
            </w:pPr>
          </w:p>
          <w:p w14:paraId="2A4B46C5" w14:textId="77777777" w:rsidR="00CE6598" w:rsidRDefault="00CE6598">
            <w:pPr>
              <w:widowControl w:val="0"/>
              <w:jc w:val="both"/>
              <w:rPr>
                <w:sz w:val="13"/>
                <w:szCs w:val="13"/>
                <w:lang w:val="en-US"/>
              </w:rPr>
            </w:pPr>
          </w:p>
          <w:p w14:paraId="24E6BD4C" w14:textId="77777777" w:rsidR="00CE6598" w:rsidRDefault="00CE6598">
            <w:pPr>
              <w:widowControl w:val="0"/>
              <w:jc w:val="both"/>
              <w:rPr>
                <w:sz w:val="13"/>
                <w:szCs w:val="13"/>
                <w:lang w:val="en-US"/>
              </w:rPr>
            </w:pPr>
          </w:p>
          <w:p w14:paraId="42F8DC42" w14:textId="77777777" w:rsidR="00CE6598" w:rsidRDefault="00CE6598">
            <w:pPr>
              <w:widowControl w:val="0"/>
              <w:jc w:val="both"/>
              <w:rPr>
                <w:sz w:val="13"/>
                <w:szCs w:val="13"/>
                <w:lang w:val="en-US"/>
              </w:rPr>
            </w:pPr>
          </w:p>
          <w:p w14:paraId="6026AD09" w14:textId="77777777" w:rsidR="00CE6598" w:rsidRDefault="00CE6598">
            <w:pPr>
              <w:widowControl w:val="0"/>
              <w:jc w:val="both"/>
              <w:rPr>
                <w:sz w:val="13"/>
                <w:szCs w:val="13"/>
                <w:lang w:val="en-US"/>
              </w:rPr>
            </w:pPr>
          </w:p>
          <w:p w14:paraId="46C92309" w14:textId="77777777" w:rsidR="00CE6598" w:rsidRDefault="00836E32">
            <w:pPr>
              <w:widowControl w:val="0"/>
              <w:jc w:val="center"/>
              <w:rPr>
                <w:sz w:val="13"/>
                <w:szCs w:val="13"/>
                <w:lang w:val="en-US"/>
              </w:rPr>
            </w:pPr>
            <w:r>
              <w:rPr>
                <w:sz w:val="13"/>
                <w:szCs w:val="13"/>
                <w:lang w:val="en-US"/>
              </w:rPr>
              <w:t>N/A</w:t>
            </w:r>
          </w:p>
        </w:tc>
        <w:tc>
          <w:tcPr>
            <w:tcW w:w="1498" w:type="dxa"/>
            <w:tcBorders>
              <w:bottom w:val="single" w:sz="8" w:space="0" w:color="000000"/>
              <w:right w:val="single" w:sz="8" w:space="0" w:color="000000"/>
            </w:tcBorders>
          </w:tcPr>
          <w:p w14:paraId="2D51F845" w14:textId="51938CB3" w:rsidR="00CE6598" w:rsidRDefault="00836E32">
            <w:pPr>
              <w:widowControl w:val="0"/>
              <w:jc w:val="both"/>
              <w:rPr>
                <w:sz w:val="13"/>
                <w:szCs w:val="13"/>
                <w:lang w:val="en-US"/>
              </w:rPr>
            </w:pPr>
            <w:r>
              <w:rPr>
                <w:sz w:val="13"/>
                <w:szCs w:val="13"/>
                <w:lang w:val="en-US"/>
              </w:rPr>
              <w:t xml:space="preserve">We use the </w:t>
            </w:r>
            <w:proofErr w:type="gramStart"/>
            <w:r>
              <w:rPr>
                <w:sz w:val="13"/>
                <w:szCs w:val="13"/>
                <w:lang w:val="en-US"/>
              </w:rPr>
              <w:t>TOSTER::</w:t>
            </w:r>
            <w:proofErr w:type="spellStart"/>
            <w:proofErr w:type="gramEnd"/>
            <w:r>
              <w:rPr>
                <w:sz w:val="13"/>
                <w:szCs w:val="13"/>
                <w:lang w:val="en-US"/>
              </w:rPr>
              <w:t>TOSTone.raw</w:t>
            </w:r>
            <w:proofErr w:type="spellEnd"/>
            <w:r>
              <w:rPr>
                <w:sz w:val="13"/>
                <w:szCs w:val="13"/>
                <w:lang w:val="en-US"/>
              </w:rPr>
              <w:t>() function from the TOSTER package. First, we will compute raw means (m</w:t>
            </w:r>
            <w:r>
              <w:rPr>
                <w:sz w:val="13"/>
                <w:szCs w:val="13"/>
                <w:vertAlign w:val="subscript"/>
                <w:lang w:val="en-US"/>
              </w:rPr>
              <w:t>diff1</w:t>
            </w:r>
            <w:r>
              <w:rPr>
                <w:sz w:val="13"/>
                <w:szCs w:val="13"/>
                <w:lang w:val="en-US"/>
              </w:rPr>
              <w:t>, m</w:t>
            </w:r>
            <w:r>
              <w:rPr>
                <w:sz w:val="13"/>
                <w:szCs w:val="13"/>
                <w:vertAlign w:val="subscript"/>
                <w:lang w:val="en-US"/>
              </w:rPr>
              <w:t>diff2</w:t>
            </w:r>
            <w:r>
              <w:rPr>
                <w:sz w:val="13"/>
                <w:szCs w:val="13"/>
                <w:lang w:val="en-US"/>
              </w:rPr>
              <w:t>) and standard deviations (sd</w:t>
            </w:r>
            <w:r>
              <w:rPr>
                <w:sz w:val="13"/>
                <w:szCs w:val="13"/>
                <w:vertAlign w:val="subscript"/>
                <w:lang w:val="en-US"/>
              </w:rPr>
              <w:t>diff1</w:t>
            </w:r>
            <w:r>
              <w:rPr>
                <w:sz w:val="13"/>
                <w:szCs w:val="13"/>
                <w:lang w:val="en-US"/>
              </w:rPr>
              <w:t>, sd</w:t>
            </w:r>
            <w:r>
              <w:rPr>
                <w:sz w:val="13"/>
                <w:szCs w:val="13"/>
                <w:vertAlign w:val="subscript"/>
                <w:lang w:val="en-US"/>
              </w:rPr>
              <w:t>diff2</w:t>
            </w:r>
            <w:r>
              <w:rPr>
                <w:sz w:val="13"/>
                <w:szCs w:val="13"/>
                <w:lang w:val="en-US"/>
              </w:rPr>
              <w:t xml:space="preserve">) for both effects (differences between groups based on the GAS7 and THL1 classification). In </w:t>
            </w:r>
            <w:proofErr w:type="gramStart"/>
            <w:r>
              <w:rPr>
                <w:sz w:val="13"/>
                <w:szCs w:val="13"/>
                <w:lang w:val="en-US"/>
              </w:rPr>
              <w:t>TOSTER::</w:t>
            </w:r>
            <w:proofErr w:type="spellStart"/>
            <w:proofErr w:type="gramEnd"/>
            <w:r>
              <w:rPr>
                <w:sz w:val="13"/>
                <w:szCs w:val="13"/>
                <w:lang w:val="en-US"/>
              </w:rPr>
              <w:t>TOSTone.raw</w:t>
            </w:r>
            <w:proofErr w:type="spellEnd"/>
            <w:r>
              <w:rPr>
                <w:sz w:val="13"/>
                <w:szCs w:val="13"/>
                <w:lang w:val="en-US"/>
              </w:rPr>
              <w:t xml:space="preserve">() function </w:t>
            </w:r>
            <w:r>
              <w:rPr>
                <w:i/>
                <w:iCs/>
                <w:sz w:val="13"/>
                <w:szCs w:val="13"/>
                <w:lang w:val="en-US"/>
              </w:rPr>
              <w:t>m</w:t>
            </w:r>
            <w:r>
              <w:rPr>
                <w:sz w:val="13"/>
                <w:szCs w:val="13"/>
                <w:lang w:val="en-US"/>
              </w:rPr>
              <w:t xml:space="preserve"> = 0, </w:t>
            </w:r>
            <w:proofErr w:type="spellStart"/>
            <w:r>
              <w:rPr>
                <w:i/>
                <w:iCs/>
                <w:sz w:val="13"/>
                <w:szCs w:val="13"/>
                <w:lang w:val="en-US"/>
              </w:rPr>
              <w:t>sd</w:t>
            </w:r>
            <w:proofErr w:type="spellEnd"/>
            <w:r>
              <w:rPr>
                <w:i/>
                <w:iCs/>
                <w:sz w:val="13"/>
                <w:szCs w:val="13"/>
                <w:lang w:val="en-US"/>
              </w:rPr>
              <w:t xml:space="preserve"> =</w:t>
            </w:r>
            <w:r>
              <w:rPr>
                <w:sz w:val="13"/>
                <w:szCs w:val="13"/>
                <w:lang w:val="en-US"/>
              </w:rPr>
              <w:t xml:space="preserve"> (sd</w:t>
            </w:r>
            <w:r>
              <w:rPr>
                <w:sz w:val="13"/>
                <w:szCs w:val="13"/>
                <w:vertAlign w:val="subscript"/>
                <w:lang w:val="en-US"/>
              </w:rPr>
              <w:t>diff1</w:t>
            </w:r>
            <w:r>
              <w:rPr>
                <w:sz w:val="13"/>
                <w:szCs w:val="13"/>
                <w:lang w:val="en-US"/>
              </w:rPr>
              <w:t>, sd</w:t>
            </w:r>
            <w:r>
              <w:rPr>
                <w:sz w:val="13"/>
                <w:szCs w:val="13"/>
                <w:vertAlign w:val="subscript"/>
                <w:lang w:val="en-US"/>
              </w:rPr>
              <w:t>diff2</w:t>
            </w:r>
            <w:r>
              <w:rPr>
                <w:sz w:val="13"/>
                <w:szCs w:val="13"/>
                <w:lang w:val="en-US"/>
              </w:rPr>
              <w:t xml:space="preserve">)/2 and </w:t>
            </w:r>
            <w:r>
              <w:rPr>
                <w:i/>
                <w:iCs/>
                <w:sz w:val="13"/>
                <w:szCs w:val="13"/>
                <w:lang w:val="en-US"/>
              </w:rPr>
              <w:t>mu</w:t>
            </w:r>
            <w:r>
              <w:rPr>
                <w:sz w:val="13"/>
                <w:szCs w:val="13"/>
                <w:lang w:val="en-US"/>
              </w:rPr>
              <w:t xml:space="preserve"> = m</w:t>
            </w:r>
            <w:r>
              <w:rPr>
                <w:sz w:val="13"/>
                <w:szCs w:val="13"/>
                <w:vertAlign w:val="subscript"/>
                <w:lang w:val="en-US"/>
              </w:rPr>
              <w:t xml:space="preserve">diff1 </w:t>
            </w:r>
            <w:r w:rsidR="00283369">
              <w:rPr>
                <w:sz w:val="13"/>
                <w:szCs w:val="13"/>
                <w:lang w:val="en-US"/>
              </w:rPr>
              <w:t>–</w:t>
            </w:r>
            <w:r>
              <w:rPr>
                <w:sz w:val="13"/>
                <w:szCs w:val="13"/>
                <w:lang w:val="en-US"/>
              </w:rPr>
              <w:t xml:space="preserve"> m</w:t>
            </w:r>
            <w:r>
              <w:rPr>
                <w:sz w:val="13"/>
                <w:szCs w:val="13"/>
                <w:vertAlign w:val="subscript"/>
                <w:lang w:val="en-US"/>
              </w:rPr>
              <w:t>diff2</w:t>
            </w:r>
            <w:r>
              <w:rPr>
                <w:sz w:val="13"/>
                <w:szCs w:val="13"/>
                <w:lang w:val="en-US"/>
              </w:rPr>
              <w:t xml:space="preserve">. Lower and upper equivalence bound will be +- 0.2 </w:t>
            </w:r>
            <w:r>
              <w:rPr>
                <w:i/>
                <w:iCs/>
                <w:sz w:val="13"/>
                <w:szCs w:val="13"/>
                <w:lang w:val="en-US"/>
              </w:rPr>
              <w:t>sd</w:t>
            </w:r>
            <w:r>
              <w:rPr>
                <w:sz w:val="13"/>
                <w:szCs w:val="13"/>
                <w:lang w:val="en-US"/>
              </w:rPr>
              <w:t xml:space="preserve">. If we do not find equivalence, we move to test significance both ways. </w:t>
            </w:r>
          </w:p>
        </w:tc>
        <w:tc>
          <w:tcPr>
            <w:tcW w:w="1455" w:type="dxa"/>
            <w:tcBorders>
              <w:bottom w:val="single" w:sz="8" w:space="0" w:color="000000"/>
              <w:right w:val="single" w:sz="8" w:space="0" w:color="000000"/>
            </w:tcBorders>
          </w:tcPr>
          <w:p w14:paraId="3CAE4D67" w14:textId="77777777" w:rsidR="00CE6598" w:rsidRDefault="00CE6598">
            <w:pPr>
              <w:widowControl w:val="0"/>
              <w:jc w:val="both"/>
              <w:rPr>
                <w:sz w:val="13"/>
                <w:szCs w:val="13"/>
                <w:lang w:val="en-US"/>
              </w:rPr>
            </w:pPr>
          </w:p>
          <w:p w14:paraId="05DC3633" w14:textId="77777777" w:rsidR="00CE6598" w:rsidRDefault="00CE6598">
            <w:pPr>
              <w:widowControl w:val="0"/>
              <w:jc w:val="both"/>
              <w:rPr>
                <w:sz w:val="13"/>
                <w:szCs w:val="13"/>
                <w:lang w:val="en-US"/>
              </w:rPr>
            </w:pPr>
          </w:p>
          <w:p w14:paraId="6C17E478" w14:textId="77777777" w:rsidR="00CE6598" w:rsidRDefault="00CE6598">
            <w:pPr>
              <w:widowControl w:val="0"/>
              <w:jc w:val="both"/>
              <w:rPr>
                <w:sz w:val="13"/>
                <w:szCs w:val="13"/>
                <w:lang w:val="en-US"/>
              </w:rPr>
            </w:pPr>
          </w:p>
          <w:p w14:paraId="6BA4B44C" w14:textId="77777777" w:rsidR="00CE6598" w:rsidRDefault="00CE6598">
            <w:pPr>
              <w:widowControl w:val="0"/>
              <w:jc w:val="both"/>
              <w:rPr>
                <w:sz w:val="13"/>
                <w:szCs w:val="13"/>
                <w:lang w:val="en-US"/>
              </w:rPr>
            </w:pPr>
          </w:p>
          <w:p w14:paraId="28A5A63F" w14:textId="77777777" w:rsidR="00CE6598" w:rsidRDefault="00CE6598">
            <w:pPr>
              <w:widowControl w:val="0"/>
              <w:jc w:val="both"/>
              <w:rPr>
                <w:sz w:val="13"/>
                <w:szCs w:val="13"/>
                <w:lang w:val="en-US"/>
              </w:rPr>
            </w:pPr>
          </w:p>
          <w:p w14:paraId="75E7823F" w14:textId="77777777" w:rsidR="00CE6598" w:rsidRDefault="00CE6598">
            <w:pPr>
              <w:widowControl w:val="0"/>
              <w:jc w:val="both"/>
              <w:rPr>
                <w:sz w:val="13"/>
                <w:szCs w:val="13"/>
                <w:lang w:val="en-US"/>
              </w:rPr>
            </w:pPr>
          </w:p>
          <w:p w14:paraId="4D7C900A" w14:textId="4E512762" w:rsidR="00CE6598" w:rsidRDefault="00BA1E01">
            <w:pPr>
              <w:widowControl w:val="0"/>
              <w:jc w:val="both"/>
              <w:rPr>
                <w:sz w:val="13"/>
                <w:szCs w:val="13"/>
                <w:lang w:val="en-US"/>
              </w:rPr>
            </w:pPr>
            <w:r>
              <w:rPr>
                <w:sz w:val="13"/>
                <w:szCs w:val="13"/>
                <w:lang w:val="en-US"/>
              </w:rPr>
              <w:t xml:space="preserve">Based on pilot data, both equivalence and difference are possible. We set two competing hypotheses. </w:t>
            </w:r>
          </w:p>
        </w:tc>
        <w:tc>
          <w:tcPr>
            <w:tcW w:w="1573" w:type="dxa"/>
            <w:tcBorders>
              <w:bottom w:val="single" w:sz="8" w:space="0" w:color="000000"/>
              <w:right w:val="single" w:sz="8" w:space="0" w:color="000000"/>
            </w:tcBorders>
          </w:tcPr>
          <w:p w14:paraId="3EAEB1DD" w14:textId="77777777" w:rsidR="00CE6598" w:rsidRDefault="00CE6598">
            <w:pPr>
              <w:widowControl w:val="0"/>
              <w:jc w:val="both"/>
              <w:rPr>
                <w:sz w:val="13"/>
                <w:szCs w:val="13"/>
                <w:lang w:val="en-US"/>
              </w:rPr>
            </w:pPr>
          </w:p>
          <w:p w14:paraId="4EEA4A25" w14:textId="77777777" w:rsidR="00CE6598" w:rsidRDefault="00CE6598">
            <w:pPr>
              <w:widowControl w:val="0"/>
              <w:jc w:val="both"/>
              <w:rPr>
                <w:sz w:val="13"/>
                <w:szCs w:val="13"/>
                <w:lang w:val="en-US"/>
              </w:rPr>
            </w:pPr>
          </w:p>
          <w:p w14:paraId="0D2B45A3" w14:textId="77777777" w:rsidR="00CE6598" w:rsidRDefault="00CE6598">
            <w:pPr>
              <w:widowControl w:val="0"/>
              <w:jc w:val="both"/>
              <w:rPr>
                <w:sz w:val="13"/>
                <w:szCs w:val="13"/>
                <w:lang w:val="en-US"/>
              </w:rPr>
            </w:pPr>
          </w:p>
          <w:p w14:paraId="501B29AC" w14:textId="77777777" w:rsidR="00CE6598" w:rsidRDefault="00CE6598">
            <w:pPr>
              <w:widowControl w:val="0"/>
              <w:jc w:val="both"/>
              <w:rPr>
                <w:sz w:val="13"/>
                <w:szCs w:val="13"/>
                <w:lang w:val="en-US"/>
              </w:rPr>
            </w:pPr>
          </w:p>
          <w:p w14:paraId="3D1A92D0" w14:textId="77777777" w:rsidR="00CE6598" w:rsidRDefault="00CE6598">
            <w:pPr>
              <w:widowControl w:val="0"/>
              <w:jc w:val="both"/>
              <w:rPr>
                <w:sz w:val="13"/>
                <w:szCs w:val="13"/>
                <w:lang w:val="en-US"/>
              </w:rPr>
            </w:pPr>
          </w:p>
          <w:p w14:paraId="3F7EFB8C" w14:textId="77777777" w:rsidR="00CE6598" w:rsidRDefault="00CE6598">
            <w:pPr>
              <w:widowControl w:val="0"/>
              <w:jc w:val="both"/>
              <w:rPr>
                <w:sz w:val="13"/>
                <w:szCs w:val="13"/>
                <w:lang w:val="en-US"/>
              </w:rPr>
            </w:pPr>
          </w:p>
          <w:p w14:paraId="0584F65D" w14:textId="012A151F" w:rsidR="00CE6598" w:rsidRDefault="00BA1E01">
            <w:pPr>
              <w:widowControl w:val="0"/>
              <w:jc w:val="both"/>
              <w:rPr>
                <w:sz w:val="13"/>
                <w:szCs w:val="13"/>
                <w:lang w:val="en-US"/>
              </w:rPr>
            </w:pPr>
            <w:r>
              <w:rPr>
                <w:sz w:val="13"/>
                <w:szCs w:val="13"/>
                <w:lang w:val="en-US"/>
              </w:rPr>
              <w:t>W</w:t>
            </w:r>
            <w:r w:rsidR="00836E32">
              <w:rPr>
                <w:sz w:val="13"/>
                <w:szCs w:val="13"/>
                <w:lang w:val="en-US"/>
              </w:rPr>
              <w:t xml:space="preserve">e test significance between the health levels of the two groups and consider </w:t>
            </w:r>
            <w:r w:rsidR="00836E32">
              <w:rPr>
                <w:rFonts w:eastAsia="Gungsuh"/>
                <w:sz w:val="13"/>
                <w:szCs w:val="13"/>
                <w:lang w:val="en-US"/>
              </w:rPr>
              <w:t>d</w:t>
            </w:r>
            <w:r w:rsidR="00836E32">
              <w:rPr>
                <w:rFonts w:eastAsia="Gungsuh"/>
                <w:i/>
                <w:sz w:val="13"/>
                <w:szCs w:val="13"/>
                <w:lang w:val="en-US"/>
              </w:rPr>
              <w:t>≥</w:t>
            </w:r>
            <w:r w:rsidR="00836E32">
              <w:rPr>
                <w:rFonts w:eastAsia="Gungsuh"/>
                <w:sz w:val="13"/>
                <w:szCs w:val="13"/>
                <w:lang w:val="en-US"/>
              </w:rPr>
              <w:t>0.22 (at alpha 0.0</w:t>
            </w:r>
            <w:r w:rsidR="00AD0527">
              <w:rPr>
                <w:rFonts w:eastAsia="Gungsuh"/>
                <w:sz w:val="13"/>
                <w:szCs w:val="13"/>
                <w:lang w:val="en-US"/>
              </w:rPr>
              <w:t>2</w:t>
            </w:r>
            <w:r w:rsidR="00836E32">
              <w:rPr>
                <w:rFonts w:eastAsia="Gungsuh"/>
                <w:sz w:val="13"/>
                <w:szCs w:val="13"/>
                <w:lang w:val="en-US"/>
              </w:rPr>
              <w:t>5) evidence for difference.</w:t>
            </w:r>
          </w:p>
        </w:tc>
        <w:tc>
          <w:tcPr>
            <w:tcW w:w="1801" w:type="dxa"/>
            <w:tcBorders>
              <w:bottom w:val="single" w:sz="8" w:space="0" w:color="000000"/>
              <w:right w:val="single" w:sz="8" w:space="0" w:color="000000"/>
            </w:tcBorders>
          </w:tcPr>
          <w:p w14:paraId="58EC12B8" w14:textId="77777777" w:rsidR="00CE6598" w:rsidRDefault="00CE6598">
            <w:pPr>
              <w:widowControl w:val="0"/>
              <w:jc w:val="both"/>
              <w:rPr>
                <w:sz w:val="13"/>
                <w:szCs w:val="13"/>
                <w:lang w:val="en-US"/>
              </w:rPr>
            </w:pPr>
          </w:p>
          <w:p w14:paraId="7396FAE0" w14:textId="77777777" w:rsidR="00CE6598" w:rsidRDefault="00CE6598">
            <w:pPr>
              <w:widowControl w:val="0"/>
              <w:jc w:val="both"/>
              <w:rPr>
                <w:sz w:val="13"/>
                <w:szCs w:val="13"/>
                <w:lang w:val="en-US"/>
              </w:rPr>
            </w:pPr>
          </w:p>
          <w:p w14:paraId="02236202" w14:textId="77777777" w:rsidR="00CE6598" w:rsidRDefault="00CE6598">
            <w:pPr>
              <w:widowControl w:val="0"/>
              <w:jc w:val="both"/>
              <w:rPr>
                <w:sz w:val="13"/>
                <w:szCs w:val="13"/>
                <w:lang w:val="en-US"/>
              </w:rPr>
            </w:pPr>
          </w:p>
          <w:p w14:paraId="2273994E" w14:textId="77777777" w:rsidR="00CE6598" w:rsidRDefault="00CE6598">
            <w:pPr>
              <w:widowControl w:val="0"/>
              <w:jc w:val="both"/>
              <w:rPr>
                <w:sz w:val="13"/>
                <w:szCs w:val="13"/>
                <w:lang w:val="en-US"/>
              </w:rPr>
            </w:pPr>
          </w:p>
          <w:p w14:paraId="47CD101E" w14:textId="77777777" w:rsidR="00CE6598" w:rsidRDefault="00CE6598">
            <w:pPr>
              <w:widowControl w:val="0"/>
              <w:jc w:val="both"/>
              <w:rPr>
                <w:sz w:val="13"/>
                <w:szCs w:val="13"/>
                <w:lang w:val="en-US"/>
              </w:rPr>
            </w:pPr>
          </w:p>
          <w:p w14:paraId="20F02405" w14:textId="77777777" w:rsidR="00CE6598" w:rsidRDefault="00CE6598">
            <w:pPr>
              <w:widowControl w:val="0"/>
              <w:jc w:val="both"/>
              <w:rPr>
                <w:sz w:val="13"/>
                <w:szCs w:val="13"/>
                <w:lang w:val="en-US"/>
              </w:rPr>
            </w:pPr>
          </w:p>
          <w:p w14:paraId="37A2947B" w14:textId="4678EF19" w:rsidR="00CE6598" w:rsidRDefault="00836E32">
            <w:pPr>
              <w:widowControl w:val="0"/>
              <w:jc w:val="both"/>
              <w:rPr>
                <w:sz w:val="13"/>
                <w:szCs w:val="13"/>
                <w:lang w:val="en-US"/>
              </w:rPr>
            </w:pPr>
            <w:r>
              <w:rPr>
                <w:sz w:val="13"/>
                <w:szCs w:val="13"/>
                <w:lang w:val="en-US"/>
              </w:rPr>
              <w:t>Corroborated H</w:t>
            </w:r>
            <w:r w:rsidR="00BA1E01">
              <w:rPr>
                <w:sz w:val="13"/>
                <w:szCs w:val="13"/>
                <w:lang w:val="en-US"/>
              </w:rPr>
              <w:t>0</w:t>
            </w:r>
            <w:r>
              <w:rPr>
                <w:sz w:val="13"/>
                <w:szCs w:val="13"/>
                <w:lang w:val="en-US"/>
              </w:rPr>
              <w:t xml:space="preserve"> would weakly support self-assessed “gaming disorder” and DSM-IV based “gaming disorder” to represent the same or similar construct health-wise. If we find a difference, this would some evidence for the multiplicity regarding the two constructs health-wise.</w:t>
            </w:r>
            <w:r w:rsidR="00BE63B9">
              <w:rPr>
                <w:sz w:val="13"/>
                <w:szCs w:val="13"/>
                <w:lang w:val="en-US"/>
              </w:rPr>
              <w:t xml:space="preserve"> Fully corroborated H3/H0 would require all sub hypotheses to be corroborated. </w:t>
            </w:r>
          </w:p>
        </w:tc>
      </w:tr>
    </w:tbl>
    <w:p w14:paraId="3AB0F285" w14:textId="77777777" w:rsidR="00CE6598" w:rsidRDefault="00836E32">
      <w:pPr>
        <w:jc w:val="both"/>
        <w:rPr>
          <w:lang w:val="en-US"/>
        </w:rPr>
      </w:pPr>
      <w:r>
        <w:rPr>
          <w:lang w:val="en-US"/>
        </w:rPr>
        <w:t xml:space="preserve"> </w:t>
      </w:r>
    </w:p>
    <w:p w14:paraId="31549BD4" w14:textId="18FF9D89" w:rsidR="00CE6598" w:rsidRDefault="00836E32">
      <w:pPr>
        <w:jc w:val="both"/>
        <w:rPr>
          <w:lang w:val="en-US"/>
        </w:rPr>
      </w:pPr>
      <w:r>
        <w:rPr>
          <w:b/>
          <w:lang w:val="en-US"/>
        </w:rPr>
        <w:t>RQ</w:t>
      </w:r>
      <w:r>
        <w:rPr>
          <w:lang w:val="en-US"/>
        </w:rPr>
        <w:t xml:space="preserve">: How do screening instruments that derive from different ontological understandings differ in identifying </w:t>
      </w:r>
      <w:r w:rsidR="006B78C1">
        <w:rPr>
          <w:lang w:val="en-US"/>
        </w:rPr>
        <w:t xml:space="preserve">GRHP </w:t>
      </w:r>
      <w:r>
        <w:rPr>
          <w:lang w:val="en-US"/>
        </w:rPr>
        <w:t>groups?</w:t>
      </w:r>
    </w:p>
    <w:p w14:paraId="15EAE0BF" w14:textId="77777777" w:rsidR="00CE6598" w:rsidRDefault="00836E32">
      <w:pPr>
        <w:jc w:val="both"/>
        <w:rPr>
          <w:lang w:val="en-US"/>
        </w:rPr>
      </w:pPr>
      <w:r>
        <w:rPr>
          <w:lang w:val="en-US"/>
        </w:rPr>
        <w:t xml:space="preserve">  </w:t>
      </w:r>
    </w:p>
    <w:p w14:paraId="6EBCB2DC" w14:textId="27EA46D5" w:rsidR="00CE6598" w:rsidRDefault="00836E32">
      <w:pPr>
        <w:ind w:left="560"/>
        <w:jc w:val="both"/>
        <w:rPr>
          <w:lang w:val="en-US"/>
        </w:rPr>
      </w:pPr>
      <w:r>
        <w:rPr>
          <w:b/>
          <w:lang w:val="en-US"/>
        </w:rPr>
        <w:t>RQ-A</w:t>
      </w:r>
      <w:r>
        <w:rPr>
          <w:lang w:val="en-US"/>
        </w:rPr>
        <w:t xml:space="preserve">: How do </w:t>
      </w:r>
      <w:r w:rsidR="006B78C1">
        <w:rPr>
          <w:lang w:val="en-US"/>
        </w:rPr>
        <w:t xml:space="preserve">GRHP </w:t>
      </w:r>
      <w:r>
        <w:rPr>
          <w:lang w:val="en-US"/>
        </w:rPr>
        <w:t xml:space="preserve">screening instruments that derive from separate ontological understandings differ in </w:t>
      </w:r>
      <w:r>
        <w:rPr>
          <w:i/>
          <w:lang w:val="en-US"/>
        </w:rPr>
        <w:t>their prevalence rates</w:t>
      </w:r>
      <w:r w:rsidR="000E4A9F">
        <w:rPr>
          <w:i/>
          <w:lang w:val="en-US"/>
        </w:rPr>
        <w:t xml:space="preserve"> (how many)</w:t>
      </w:r>
      <w:r>
        <w:rPr>
          <w:lang w:val="en-US"/>
        </w:rPr>
        <w:t>?</w:t>
      </w:r>
    </w:p>
    <w:p w14:paraId="582699F5" w14:textId="5729B243" w:rsidR="00CE6598" w:rsidRDefault="00836E32">
      <w:pPr>
        <w:ind w:left="560"/>
        <w:jc w:val="both"/>
        <w:rPr>
          <w:lang w:val="en-US"/>
        </w:rPr>
      </w:pPr>
      <w:r>
        <w:rPr>
          <w:b/>
          <w:lang w:val="en-US"/>
        </w:rPr>
        <w:t>RQ-B</w:t>
      </w:r>
      <w:r>
        <w:rPr>
          <w:lang w:val="en-US"/>
        </w:rPr>
        <w:t xml:space="preserve">: How do </w:t>
      </w:r>
      <w:r w:rsidR="006B78C1">
        <w:rPr>
          <w:lang w:val="en-US"/>
        </w:rPr>
        <w:t xml:space="preserve">GRHP </w:t>
      </w:r>
      <w:r>
        <w:rPr>
          <w:lang w:val="en-US"/>
        </w:rPr>
        <w:t xml:space="preserve">screening instruments that derive from separate ontological understandings differ in </w:t>
      </w:r>
      <w:r>
        <w:rPr>
          <w:i/>
          <w:lang w:val="en-US"/>
        </w:rPr>
        <w:t xml:space="preserve">who </w:t>
      </w:r>
      <w:r w:rsidRPr="000E4A9F">
        <w:rPr>
          <w:i/>
          <w:lang w:val="en-US"/>
        </w:rPr>
        <w:t>they identify</w:t>
      </w:r>
      <w:r w:rsidR="000E4A9F" w:rsidRPr="000E4A9F">
        <w:rPr>
          <w:i/>
          <w:lang w:val="en-US"/>
        </w:rPr>
        <w:t xml:space="preserve"> </w:t>
      </w:r>
      <w:r w:rsidR="000E4A9F" w:rsidRPr="00AF14E3">
        <w:rPr>
          <w:i/>
          <w:lang w:val="en-US"/>
        </w:rPr>
        <w:t>(what characteristics)</w:t>
      </w:r>
      <w:r>
        <w:rPr>
          <w:lang w:val="en-US"/>
        </w:rPr>
        <w:t xml:space="preserve">? </w:t>
      </w:r>
    </w:p>
    <w:p w14:paraId="5BED258B" w14:textId="70C84323" w:rsidR="00CE6598" w:rsidRDefault="00836E32">
      <w:pPr>
        <w:ind w:left="560"/>
        <w:jc w:val="both"/>
        <w:rPr>
          <w:lang w:val="en-US"/>
        </w:rPr>
      </w:pPr>
      <w:r>
        <w:rPr>
          <w:b/>
          <w:lang w:val="en-US"/>
        </w:rPr>
        <w:t>RQ-C</w:t>
      </w:r>
      <w:r>
        <w:rPr>
          <w:lang w:val="en-US"/>
        </w:rPr>
        <w:t xml:space="preserve">: How do </w:t>
      </w:r>
      <w:r w:rsidR="006B78C1">
        <w:rPr>
          <w:lang w:val="en-US"/>
        </w:rPr>
        <w:t xml:space="preserve">GRHP </w:t>
      </w:r>
      <w:r>
        <w:rPr>
          <w:lang w:val="en-US"/>
        </w:rPr>
        <w:t>screening instruments that derive from separate ontological understandings differ in</w:t>
      </w:r>
      <w:r>
        <w:rPr>
          <w:i/>
          <w:lang w:val="en-US"/>
        </w:rPr>
        <w:t xml:space="preserve"> </w:t>
      </w:r>
      <w:r w:rsidRPr="00AF14E3">
        <w:rPr>
          <w:iCs/>
          <w:lang w:val="en-US"/>
        </w:rPr>
        <w:t>the</w:t>
      </w:r>
      <w:r>
        <w:rPr>
          <w:i/>
          <w:lang w:val="en-US"/>
        </w:rPr>
        <w:t xml:space="preserve"> health of their identified groups</w:t>
      </w:r>
      <w:r w:rsidR="000E4A9F">
        <w:rPr>
          <w:i/>
          <w:lang w:val="en-US"/>
        </w:rPr>
        <w:t xml:space="preserve"> (how healthy)</w:t>
      </w:r>
      <w:r>
        <w:rPr>
          <w:lang w:val="en-US"/>
        </w:rPr>
        <w:t>?</w:t>
      </w:r>
    </w:p>
    <w:p w14:paraId="33C621A9" w14:textId="77777777" w:rsidR="00CE6598" w:rsidRDefault="00836E32">
      <w:pPr>
        <w:jc w:val="both"/>
        <w:rPr>
          <w:lang w:val="en-US"/>
        </w:rPr>
      </w:pPr>
      <w:r>
        <w:rPr>
          <w:lang w:val="en-US"/>
        </w:rPr>
        <w:t xml:space="preserve"> </w:t>
      </w:r>
    </w:p>
    <w:p w14:paraId="530613E7" w14:textId="1CB9EBAB" w:rsidR="00CE6598" w:rsidRDefault="00836E32">
      <w:pPr>
        <w:jc w:val="both"/>
        <w:rPr>
          <w:lang w:val="en-US"/>
        </w:rPr>
      </w:pPr>
      <w:r>
        <w:rPr>
          <w:b/>
          <w:bCs/>
          <w:lang w:val="en-US"/>
        </w:rPr>
        <w:t>H1</w:t>
      </w:r>
      <w:r>
        <w:rPr>
          <w:lang w:val="en-US"/>
        </w:rPr>
        <w:t xml:space="preserve">:  </w:t>
      </w:r>
      <w:r>
        <w:rPr>
          <w:i/>
          <w:lang w:val="en-US"/>
        </w:rPr>
        <w:t xml:space="preserve">We expect the ICD-11 and DSM-5 based </w:t>
      </w:r>
      <w:r w:rsidR="00380F18">
        <w:rPr>
          <w:i/>
          <w:lang w:val="en-US"/>
        </w:rPr>
        <w:t>GRHP</w:t>
      </w:r>
      <w:r>
        <w:rPr>
          <w:i/>
          <w:lang w:val="en-US"/>
        </w:rPr>
        <w:t xml:space="preserve"> prevalence rates to be </w:t>
      </w:r>
      <w:r w:rsidR="001C75DA">
        <w:rPr>
          <w:i/>
          <w:lang w:val="en-US"/>
        </w:rPr>
        <w:t>meanin</w:t>
      </w:r>
      <w:r w:rsidR="00BA1E01">
        <w:rPr>
          <w:i/>
          <w:lang w:val="en-US"/>
        </w:rPr>
        <w:t>g</w:t>
      </w:r>
      <w:r w:rsidR="001C75DA">
        <w:rPr>
          <w:i/>
          <w:lang w:val="en-US"/>
        </w:rPr>
        <w:t xml:space="preserve">fully </w:t>
      </w:r>
      <w:r>
        <w:rPr>
          <w:i/>
          <w:lang w:val="en-US"/>
        </w:rPr>
        <w:t xml:space="preserve">lower than the DSM-IV and </w:t>
      </w:r>
      <w:r w:rsidR="00595783">
        <w:rPr>
          <w:i/>
          <w:lang w:val="en-US"/>
        </w:rPr>
        <w:t>S</w:t>
      </w:r>
      <w:r>
        <w:rPr>
          <w:i/>
          <w:lang w:val="en-US"/>
        </w:rPr>
        <w:t>elf-</w:t>
      </w:r>
      <w:proofErr w:type="gramStart"/>
      <w:r>
        <w:rPr>
          <w:i/>
          <w:lang w:val="en-US"/>
        </w:rPr>
        <w:t>assessment based</w:t>
      </w:r>
      <w:proofErr w:type="gramEnd"/>
      <w:r>
        <w:rPr>
          <w:i/>
          <w:lang w:val="en-US"/>
        </w:rPr>
        <w:t xml:space="preserve"> prevalence rates.</w:t>
      </w:r>
    </w:p>
    <w:p w14:paraId="2B367802" w14:textId="77777777" w:rsidR="00CE6598" w:rsidRDefault="00836E32">
      <w:pPr>
        <w:ind w:left="720"/>
        <w:jc w:val="both"/>
        <w:rPr>
          <w:lang w:val="en-US"/>
        </w:rPr>
      </w:pPr>
      <w:r>
        <w:rPr>
          <w:lang w:val="en-US"/>
        </w:rPr>
        <w:t xml:space="preserve"> </w:t>
      </w:r>
    </w:p>
    <w:p w14:paraId="16DAFF0E" w14:textId="7589BCC3" w:rsidR="002813EC" w:rsidRDefault="002813EC" w:rsidP="005805ED">
      <w:pPr>
        <w:ind w:left="567"/>
        <w:jc w:val="both"/>
        <w:rPr>
          <w:i/>
          <w:lang w:val="en-US"/>
        </w:rPr>
      </w:pPr>
      <w:r>
        <w:rPr>
          <w:b/>
          <w:bCs/>
          <w:lang w:val="en-US"/>
        </w:rPr>
        <w:t>H1a</w:t>
      </w:r>
      <w:r>
        <w:rPr>
          <w:lang w:val="en-US"/>
        </w:rPr>
        <w:t xml:space="preserve">: </w:t>
      </w:r>
      <w:r>
        <w:rPr>
          <w:i/>
          <w:lang w:val="en-US"/>
        </w:rPr>
        <w:t xml:space="preserve">We expect the ICD-11 based prevalence rate to be </w:t>
      </w:r>
      <w:r w:rsidR="001C75DA">
        <w:rPr>
          <w:i/>
          <w:lang w:val="en-US"/>
        </w:rPr>
        <w:t>meanin</w:t>
      </w:r>
      <w:r w:rsidR="00BA1E01">
        <w:rPr>
          <w:i/>
          <w:lang w:val="en-US"/>
        </w:rPr>
        <w:t>g</w:t>
      </w:r>
      <w:r w:rsidR="001C75DA">
        <w:rPr>
          <w:i/>
          <w:lang w:val="en-US"/>
        </w:rPr>
        <w:t xml:space="preserve">fully </w:t>
      </w:r>
      <w:r>
        <w:rPr>
          <w:i/>
          <w:lang w:val="en-US"/>
        </w:rPr>
        <w:t>lower than the DSM-IV based prevalence rate.</w:t>
      </w:r>
    </w:p>
    <w:p w14:paraId="6A777EEB" w14:textId="550D36FE" w:rsidR="002813EC" w:rsidRDefault="002813EC" w:rsidP="005805ED">
      <w:pPr>
        <w:ind w:left="567"/>
        <w:jc w:val="both"/>
        <w:rPr>
          <w:i/>
          <w:lang w:val="en-US"/>
        </w:rPr>
      </w:pPr>
      <w:r>
        <w:rPr>
          <w:b/>
          <w:bCs/>
          <w:lang w:val="en-US"/>
        </w:rPr>
        <w:t>H1b</w:t>
      </w:r>
      <w:r>
        <w:rPr>
          <w:lang w:val="en-US"/>
        </w:rPr>
        <w:t xml:space="preserve">: </w:t>
      </w:r>
      <w:r>
        <w:rPr>
          <w:i/>
          <w:lang w:val="en-US"/>
        </w:rPr>
        <w:t xml:space="preserve">We expect the ICD-11 based prevalence rate to be </w:t>
      </w:r>
      <w:r w:rsidR="001C75DA">
        <w:rPr>
          <w:i/>
          <w:lang w:val="en-US"/>
        </w:rPr>
        <w:t>meanin</w:t>
      </w:r>
      <w:r w:rsidR="00BA1E01">
        <w:rPr>
          <w:i/>
          <w:lang w:val="en-US"/>
        </w:rPr>
        <w:t>g</w:t>
      </w:r>
      <w:r w:rsidR="001C75DA">
        <w:rPr>
          <w:i/>
          <w:lang w:val="en-US"/>
        </w:rPr>
        <w:t xml:space="preserve">fully </w:t>
      </w:r>
      <w:r>
        <w:rPr>
          <w:i/>
          <w:lang w:val="en-US"/>
        </w:rPr>
        <w:t xml:space="preserve">lower than the </w:t>
      </w:r>
      <w:r w:rsidR="00595783">
        <w:rPr>
          <w:i/>
          <w:lang w:val="en-US"/>
        </w:rPr>
        <w:t>S</w:t>
      </w:r>
      <w:r>
        <w:rPr>
          <w:i/>
          <w:lang w:val="en-US"/>
        </w:rPr>
        <w:t>elf-</w:t>
      </w:r>
      <w:proofErr w:type="gramStart"/>
      <w:r>
        <w:rPr>
          <w:i/>
          <w:lang w:val="en-US"/>
        </w:rPr>
        <w:t>assessment based</w:t>
      </w:r>
      <w:proofErr w:type="gramEnd"/>
      <w:r>
        <w:rPr>
          <w:i/>
          <w:lang w:val="en-US"/>
        </w:rPr>
        <w:t xml:space="preserve"> prevalence rate.</w:t>
      </w:r>
    </w:p>
    <w:p w14:paraId="054CFE7A" w14:textId="24FEE390" w:rsidR="002813EC" w:rsidRDefault="002813EC" w:rsidP="005805ED">
      <w:pPr>
        <w:ind w:left="567"/>
        <w:jc w:val="both"/>
        <w:rPr>
          <w:lang w:val="en-US"/>
        </w:rPr>
      </w:pPr>
      <w:r>
        <w:rPr>
          <w:b/>
          <w:bCs/>
          <w:lang w:val="en-US"/>
        </w:rPr>
        <w:t>H1c</w:t>
      </w:r>
      <w:r>
        <w:rPr>
          <w:lang w:val="en-US"/>
        </w:rPr>
        <w:t xml:space="preserve">: </w:t>
      </w:r>
      <w:r>
        <w:rPr>
          <w:i/>
          <w:lang w:val="en-US"/>
        </w:rPr>
        <w:t xml:space="preserve">We expect the DSM-5 based prevalence rate to be </w:t>
      </w:r>
      <w:r w:rsidR="001C75DA">
        <w:rPr>
          <w:i/>
          <w:lang w:val="en-US"/>
        </w:rPr>
        <w:t>meanin</w:t>
      </w:r>
      <w:r w:rsidR="00BA1E01">
        <w:rPr>
          <w:i/>
          <w:lang w:val="en-US"/>
        </w:rPr>
        <w:t>g</w:t>
      </w:r>
      <w:r w:rsidR="001C75DA">
        <w:rPr>
          <w:i/>
          <w:lang w:val="en-US"/>
        </w:rPr>
        <w:t xml:space="preserve">fully </w:t>
      </w:r>
      <w:r>
        <w:rPr>
          <w:i/>
          <w:lang w:val="en-US"/>
        </w:rPr>
        <w:t>lower than the DSM-IV based prevalence rate.</w:t>
      </w:r>
    </w:p>
    <w:p w14:paraId="75CB4085" w14:textId="12F3B1E3" w:rsidR="002813EC" w:rsidRDefault="002813EC" w:rsidP="005805ED">
      <w:pPr>
        <w:ind w:left="567"/>
        <w:jc w:val="both"/>
        <w:rPr>
          <w:lang w:val="en-US"/>
        </w:rPr>
      </w:pPr>
      <w:r>
        <w:rPr>
          <w:b/>
          <w:bCs/>
          <w:lang w:val="en-US"/>
        </w:rPr>
        <w:t>H1d</w:t>
      </w:r>
      <w:r>
        <w:rPr>
          <w:lang w:val="en-US"/>
        </w:rPr>
        <w:t xml:space="preserve">: </w:t>
      </w:r>
      <w:r>
        <w:rPr>
          <w:i/>
          <w:lang w:val="en-US"/>
        </w:rPr>
        <w:t xml:space="preserve">We expect the DSM-5 based prevalence rate to be </w:t>
      </w:r>
      <w:r w:rsidR="001C75DA">
        <w:rPr>
          <w:i/>
          <w:lang w:val="en-US"/>
        </w:rPr>
        <w:t>meanin</w:t>
      </w:r>
      <w:r w:rsidR="00BA1E01">
        <w:rPr>
          <w:i/>
          <w:lang w:val="en-US"/>
        </w:rPr>
        <w:t>g</w:t>
      </w:r>
      <w:r w:rsidR="001C75DA">
        <w:rPr>
          <w:i/>
          <w:lang w:val="en-US"/>
        </w:rPr>
        <w:t xml:space="preserve">fully </w:t>
      </w:r>
      <w:r>
        <w:rPr>
          <w:i/>
          <w:lang w:val="en-US"/>
        </w:rPr>
        <w:t xml:space="preserve">lower than the </w:t>
      </w:r>
      <w:r w:rsidR="00595783">
        <w:rPr>
          <w:i/>
          <w:lang w:val="en-US"/>
        </w:rPr>
        <w:t>S</w:t>
      </w:r>
      <w:r>
        <w:rPr>
          <w:i/>
          <w:lang w:val="en-US"/>
        </w:rPr>
        <w:t>elf-</w:t>
      </w:r>
      <w:proofErr w:type="gramStart"/>
      <w:r>
        <w:rPr>
          <w:i/>
          <w:lang w:val="en-US"/>
        </w:rPr>
        <w:t>assessment based</w:t>
      </w:r>
      <w:proofErr w:type="gramEnd"/>
      <w:r>
        <w:rPr>
          <w:i/>
          <w:lang w:val="en-US"/>
        </w:rPr>
        <w:t xml:space="preserve"> prevalence rate.</w:t>
      </w:r>
    </w:p>
    <w:p w14:paraId="31A039B9" w14:textId="77777777" w:rsidR="00CE6598" w:rsidRDefault="00836E32" w:rsidP="00BB76A7">
      <w:pPr>
        <w:jc w:val="both"/>
        <w:rPr>
          <w:lang w:val="en-US"/>
        </w:rPr>
      </w:pPr>
      <w:r>
        <w:rPr>
          <w:lang w:val="en-US"/>
        </w:rPr>
        <w:t xml:space="preserve"> </w:t>
      </w:r>
    </w:p>
    <w:p w14:paraId="6AD33C6E" w14:textId="4D1AF9F7" w:rsidR="00CE6598" w:rsidRDefault="00836E32">
      <w:pPr>
        <w:jc w:val="both"/>
        <w:rPr>
          <w:lang w:val="en-US"/>
        </w:rPr>
      </w:pPr>
      <w:r>
        <w:rPr>
          <w:b/>
          <w:bCs/>
          <w:lang w:val="en-US"/>
        </w:rPr>
        <w:lastRenderedPageBreak/>
        <w:t>H2</w:t>
      </w:r>
      <w:r>
        <w:rPr>
          <w:lang w:val="en-US"/>
        </w:rPr>
        <w:t xml:space="preserve">: </w:t>
      </w:r>
      <w:r>
        <w:rPr>
          <w:i/>
          <w:lang w:val="en-US"/>
        </w:rPr>
        <w:t xml:space="preserve">We expect ICD-11, DSM-5, </w:t>
      </w:r>
      <w:r w:rsidR="00595783">
        <w:rPr>
          <w:i/>
          <w:lang w:val="en-US"/>
        </w:rPr>
        <w:t xml:space="preserve">and </w:t>
      </w:r>
      <w:r>
        <w:rPr>
          <w:i/>
          <w:lang w:val="en-US"/>
        </w:rPr>
        <w:t xml:space="preserve">DSM-IV, based </w:t>
      </w:r>
      <w:r w:rsidR="00380F18">
        <w:rPr>
          <w:i/>
          <w:lang w:val="en-US"/>
        </w:rPr>
        <w:t>GRHPs</w:t>
      </w:r>
      <w:r>
        <w:rPr>
          <w:i/>
          <w:lang w:val="en-US"/>
        </w:rPr>
        <w:t xml:space="preserve"> to overlap. Those who meet the ICD-11 criteria also meet the DSM-5 criteria, and both above additionally meet the DSM-IV </w:t>
      </w:r>
      <w:r w:rsidR="00010132">
        <w:rPr>
          <w:i/>
          <w:lang w:val="en-US"/>
        </w:rPr>
        <w:t xml:space="preserve">based </w:t>
      </w:r>
      <w:r>
        <w:rPr>
          <w:i/>
          <w:lang w:val="en-US"/>
        </w:rPr>
        <w:t>criteria.</w:t>
      </w:r>
    </w:p>
    <w:p w14:paraId="44C23A14" w14:textId="77777777" w:rsidR="00CE6598" w:rsidRDefault="00836E32">
      <w:pPr>
        <w:jc w:val="both"/>
        <w:rPr>
          <w:i/>
          <w:lang w:val="en-US"/>
        </w:rPr>
      </w:pPr>
      <w:r>
        <w:rPr>
          <w:i/>
          <w:lang w:val="en-US"/>
        </w:rPr>
        <w:t xml:space="preserve"> </w:t>
      </w:r>
    </w:p>
    <w:p w14:paraId="6A3ADD51" w14:textId="77777777" w:rsidR="00CE6598" w:rsidRDefault="00836E32">
      <w:pPr>
        <w:ind w:left="720"/>
        <w:jc w:val="both"/>
        <w:rPr>
          <w:lang w:val="en-US"/>
        </w:rPr>
      </w:pPr>
      <w:r>
        <w:rPr>
          <w:b/>
          <w:bCs/>
          <w:lang w:val="en-US"/>
        </w:rPr>
        <w:t>H2a</w:t>
      </w:r>
      <w:r>
        <w:rPr>
          <w:lang w:val="en-US"/>
        </w:rPr>
        <w:t xml:space="preserve">: </w:t>
      </w:r>
      <w:r>
        <w:rPr>
          <w:i/>
          <w:lang w:val="en-US"/>
        </w:rPr>
        <w:t>Those who meet the ICD-11 criteria also meet the DSM-5 criteria.</w:t>
      </w:r>
    </w:p>
    <w:p w14:paraId="6F495446" w14:textId="441F12EB" w:rsidR="00CE6598" w:rsidRDefault="00836E32">
      <w:pPr>
        <w:ind w:left="720"/>
        <w:jc w:val="both"/>
        <w:rPr>
          <w:lang w:val="en-US"/>
        </w:rPr>
      </w:pPr>
      <w:r>
        <w:rPr>
          <w:b/>
          <w:bCs/>
          <w:lang w:val="en-US"/>
        </w:rPr>
        <w:t>H2b</w:t>
      </w:r>
      <w:r>
        <w:rPr>
          <w:lang w:val="en-US"/>
        </w:rPr>
        <w:t xml:space="preserve">: </w:t>
      </w:r>
      <w:r>
        <w:rPr>
          <w:i/>
          <w:lang w:val="en-US"/>
        </w:rPr>
        <w:t xml:space="preserve">Those who meet the ICD-11 and DSM-5 criteria also meet the DSM-IV </w:t>
      </w:r>
      <w:r w:rsidR="00C06D99">
        <w:rPr>
          <w:i/>
          <w:lang w:val="en-US"/>
        </w:rPr>
        <w:t xml:space="preserve">based </w:t>
      </w:r>
      <w:r>
        <w:rPr>
          <w:i/>
          <w:lang w:val="en-US"/>
        </w:rPr>
        <w:t>criteria.</w:t>
      </w:r>
    </w:p>
    <w:p w14:paraId="6B32F830" w14:textId="77777777" w:rsidR="00CE6598" w:rsidRDefault="00836E32">
      <w:pPr>
        <w:jc w:val="both"/>
        <w:rPr>
          <w:lang w:val="en-US"/>
        </w:rPr>
      </w:pPr>
      <w:r>
        <w:rPr>
          <w:lang w:val="en-US"/>
        </w:rPr>
        <w:t xml:space="preserve"> </w:t>
      </w:r>
    </w:p>
    <w:p w14:paraId="1D6845E5" w14:textId="0CD9CAFF" w:rsidR="00CE6598" w:rsidRDefault="00836E32">
      <w:pPr>
        <w:jc w:val="both"/>
        <w:rPr>
          <w:lang w:val="en-US"/>
        </w:rPr>
      </w:pPr>
      <w:r>
        <w:rPr>
          <w:b/>
          <w:bCs/>
          <w:lang w:val="en-US"/>
        </w:rPr>
        <w:t>H3</w:t>
      </w:r>
      <w:r>
        <w:rPr>
          <w:lang w:val="en-US"/>
        </w:rPr>
        <w:t xml:space="preserve">: </w:t>
      </w:r>
      <w:r>
        <w:rPr>
          <w:i/>
          <w:lang w:val="en-US"/>
        </w:rPr>
        <w:t xml:space="preserve">We expect those with DSM-IV and </w:t>
      </w:r>
      <w:r w:rsidR="00595783">
        <w:rPr>
          <w:i/>
          <w:lang w:val="en-US"/>
        </w:rPr>
        <w:t>S</w:t>
      </w:r>
      <w:r>
        <w:rPr>
          <w:i/>
          <w:lang w:val="en-US"/>
        </w:rPr>
        <w:t xml:space="preserve">elf-assessment based </w:t>
      </w:r>
      <w:r w:rsidR="00380F18">
        <w:rPr>
          <w:i/>
          <w:lang w:val="en-US"/>
        </w:rPr>
        <w:t>GRHPs</w:t>
      </w:r>
      <w:r>
        <w:rPr>
          <w:i/>
          <w:lang w:val="en-US"/>
        </w:rPr>
        <w:t xml:space="preserve"> to have (equally) lower health in comparison to the general population.</w:t>
      </w:r>
    </w:p>
    <w:p w14:paraId="444E30CB" w14:textId="77777777" w:rsidR="00CE6598" w:rsidRDefault="00836E32">
      <w:pPr>
        <w:jc w:val="both"/>
        <w:rPr>
          <w:lang w:val="en-US"/>
        </w:rPr>
      </w:pPr>
      <w:r>
        <w:rPr>
          <w:lang w:val="en-US"/>
        </w:rPr>
        <w:t xml:space="preserve"> </w:t>
      </w:r>
    </w:p>
    <w:p w14:paraId="06B2A3FB" w14:textId="04E74781" w:rsidR="00CE6598" w:rsidRDefault="00836E32">
      <w:pPr>
        <w:ind w:left="720"/>
        <w:jc w:val="both"/>
        <w:rPr>
          <w:rFonts w:eastAsia="Gungsuh"/>
          <w:b/>
          <w:bCs/>
          <w:i/>
          <w:lang w:val="en-US"/>
        </w:rPr>
      </w:pPr>
      <w:r>
        <w:rPr>
          <w:b/>
          <w:bCs/>
          <w:lang w:val="en-US"/>
        </w:rPr>
        <w:t>H3a</w:t>
      </w:r>
      <w:r>
        <w:rPr>
          <w:lang w:val="en-US"/>
        </w:rPr>
        <w:t xml:space="preserve">: </w:t>
      </w:r>
      <w:r>
        <w:rPr>
          <w:rFonts w:eastAsia="Gungsuh"/>
          <w:i/>
          <w:lang w:val="en-US"/>
        </w:rPr>
        <w:t xml:space="preserve">We expect those with DSM-IV based </w:t>
      </w:r>
      <w:r w:rsidR="00380F18">
        <w:rPr>
          <w:rFonts w:eastAsia="Gungsuh"/>
          <w:i/>
          <w:lang w:val="en-US"/>
        </w:rPr>
        <w:t>GRHPs</w:t>
      </w:r>
      <w:r>
        <w:rPr>
          <w:rFonts w:eastAsia="Gungsuh"/>
          <w:i/>
          <w:lang w:val="en-US"/>
        </w:rPr>
        <w:t xml:space="preserve"> to have </w:t>
      </w:r>
      <w:r w:rsidR="00773361">
        <w:rPr>
          <w:rFonts w:eastAsia="Gungsuh"/>
          <w:i/>
          <w:lang w:val="en-US"/>
        </w:rPr>
        <w:t xml:space="preserve">meaningfully </w:t>
      </w:r>
      <w:r>
        <w:rPr>
          <w:rFonts w:eastAsia="Gungsuh"/>
          <w:i/>
          <w:lang w:val="en-US"/>
        </w:rPr>
        <w:t>lower mental or physical health in comparison to the general population.</w:t>
      </w:r>
    </w:p>
    <w:p w14:paraId="0E498B8F" w14:textId="4AD26F32" w:rsidR="00CE6598" w:rsidRDefault="00836E32">
      <w:pPr>
        <w:ind w:left="720"/>
        <w:jc w:val="both"/>
        <w:rPr>
          <w:lang w:val="en-US"/>
        </w:rPr>
      </w:pPr>
      <w:r>
        <w:rPr>
          <w:b/>
          <w:bCs/>
          <w:lang w:val="en-US"/>
        </w:rPr>
        <w:t>H3b</w:t>
      </w:r>
      <w:r w:rsidR="00360E65">
        <w:rPr>
          <w:b/>
          <w:bCs/>
          <w:lang w:val="en-US"/>
        </w:rPr>
        <w:t>/H0</w:t>
      </w:r>
      <w:r>
        <w:rPr>
          <w:lang w:val="en-US"/>
        </w:rPr>
        <w:t xml:space="preserve">: </w:t>
      </w:r>
      <w:r>
        <w:rPr>
          <w:rFonts w:eastAsia="Gungsuh"/>
          <w:i/>
          <w:lang w:val="en-US"/>
        </w:rPr>
        <w:t xml:space="preserve">We expect those who </w:t>
      </w:r>
      <w:r w:rsidR="00595783">
        <w:rPr>
          <w:rFonts w:eastAsia="Gungsuh"/>
          <w:i/>
          <w:lang w:val="en-US"/>
        </w:rPr>
        <w:t>S</w:t>
      </w:r>
      <w:r>
        <w:rPr>
          <w:rFonts w:eastAsia="Gungsuh"/>
          <w:i/>
          <w:lang w:val="en-US"/>
        </w:rPr>
        <w:t xml:space="preserve">elf-assess </w:t>
      </w:r>
      <w:r w:rsidR="00283369">
        <w:rPr>
          <w:rFonts w:eastAsia="Gungsuh"/>
          <w:i/>
          <w:lang w:val="en-US"/>
        </w:rPr>
        <w:t xml:space="preserve">that they </w:t>
      </w:r>
      <w:r>
        <w:rPr>
          <w:rFonts w:eastAsia="Gungsuh"/>
          <w:i/>
          <w:lang w:val="en-US"/>
        </w:rPr>
        <w:t>hav</w:t>
      </w:r>
      <w:r w:rsidR="00283369">
        <w:rPr>
          <w:rFonts w:eastAsia="Gungsuh"/>
          <w:i/>
          <w:lang w:val="en-US"/>
        </w:rPr>
        <w:t>e</w:t>
      </w:r>
      <w:r>
        <w:rPr>
          <w:rFonts w:eastAsia="Gungsuh"/>
          <w:i/>
          <w:lang w:val="en-US"/>
        </w:rPr>
        <w:t xml:space="preserve"> gaming problems to have </w:t>
      </w:r>
      <w:r w:rsidR="00773361">
        <w:rPr>
          <w:rFonts w:eastAsia="Gungsuh"/>
          <w:i/>
          <w:lang w:val="en-US"/>
        </w:rPr>
        <w:t xml:space="preserve">meaningfully </w:t>
      </w:r>
      <w:r>
        <w:rPr>
          <w:rFonts w:eastAsia="Gungsuh"/>
          <w:i/>
          <w:lang w:val="en-US"/>
        </w:rPr>
        <w:t>lower mental or physical health in comparison to the general population.</w:t>
      </w:r>
    </w:p>
    <w:p w14:paraId="367BA958" w14:textId="56B0561B" w:rsidR="00CE6598" w:rsidRDefault="00836E32">
      <w:pPr>
        <w:ind w:left="720"/>
        <w:jc w:val="both"/>
        <w:rPr>
          <w:color w:val="000000" w:themeColor="text1"/>
          <w:lang w:val="en-US"/>
        </w:rPr>
      </w:pPr>
      <w:r>
        <w:rPr>
          <w:b/>
          <w:bCs/>
          <w:color w:val="000000" w:themeColor="text1"/>
          <w:lang w:val="en-US"/>
        </w:rPr>
        <w:t>H3c</w:t>
      </w:r>
      <w:r w:rsidR="00360E65">
        <w:rPr>
          <w:b/>
          <w:bCs/>
          <w:color w:val="000000" w:themeColor="text1"/>
          <w:lang w:val="en-US"/>
        </w:rPr>
        <w:t>/H0</w:t>
      </w:r>
      <w:r>
        <w:rPr>
          <w:color w:val="000000" w:themeColor="text1"/>
          <w:lang w:val="en-US"/>
        </w:rPr>
        <w:t xml:space="preserve">: </w:t>
      </w:r>
      <w:r>
        <w:rPr>
          <w:i/>
          <w:color w:val="000000" w:themeColor="text1"/>
          <w:lang w:val="en-US"/>
        </w:rPr>
        <w:t xml:space="preserve">We expect the mental and physical health of those with DSM-IV and </w:t>
      </w:r>
      <w:r w:rsidR="00595783">
        <w:rPr>
          <w:i/>
          <w:color w:val="000000" w:themeColor="text1"/>
          <w:lang w:val="en-US"/>
        </w:rPr>
        <w:t>S</w:t>
      </w:r>
      <w:r>
        <w:rPr>
          <w:i/>
          <w:color w:val="000000" w:themeColor="text1"/>
          <w:lang w:val="en-US"/>
        </w:rPr>
        <w:t xml:space="preserve">elf-assessment based </w:t>
      </w:r>
      <w:r w:rsidR="00380F18">
        <w:rPr>
          <w:i/>
          <w:color w:val="000000" w:themeColor="text1"/>
          <w:lang w:val="en-US"/>
        </w:rPr>
        <w:t>GRHPs</w:t>
      </w:r>
      <w:r>
        <w:rPr>
          <w:i/>
          <w:color w:val="000000" w:themeColor="text1"/>
          <w:lang w:val="en-US"/>
        </w:rPr>
        <w:t xml:space="preserve"> to be </w:t>
      </w:r>
      <w:r w:rsidR="00773361">
        <w:rPr>
          <w:i/>
          <w:color w:val="000000" w:themeColor="text1"/>
          <w:lang w:val="en-US"/>
        </w:rPr>
        <w:t xml:space="preserve">meaningfully </w:t>
      </w:r>
      <w:r w:rsidR="00BA1E01">
        <w:rPr>
          <w:i/>
          <w:color w:val="000000" w:themeColor="text1"/>
          <w:lang w:val="en-US"/>
        </w:rPr>
        <w:t>different</w:t>
      </w:r>
      <w:r>
        <w:rPr>
          <w:i/>
          <w:color w:val="000000" w:themeColor="text1"/>
          <w:lang w:val="en-US"/>
        </w:rPr>
        <w:t xml:space="preserve">. </w:t>
      </w:r>
    </w:p>
    <w:p w14:paraId="411C57E1" w14:textId="77777777" w:rsidR="00CE6598" w:rsidRDefault="00836E32">
      <w:pPr>
        <w:spacing w:after="240"/>
        <w:jc w:val="both"/>
        <w:rPr>
          <w:lang w:val="en-US"/>
        </w:rPr>
      </w:pPr>
      <w:r>
        <w:rPr>
          <w:lang w:val="en-US"/>
        </w:rPr>
        <w:t xml:space="preserve"> </w:t>
      </w:r>
    </w:p>
    <w:p w14:paraId="77643471" w14:textId="77777777" w:rsidR="00CE6598" w:rsidRDefault="00836E32">
      <w:pPr>
        <w:spacing w:after="240"/>
        <w:jc w:val="both"/>
        <w:rPr>
          <w:lang w:val="en-US"/>
        </w:rPr>
      </w:pPr>
      <w:r>
        <w:rPr>
          <w:lang w:val="en-US"/>
        </w:rPr>
        <w:t xml:space="preserve"> </w:t>
      </w:r>
    </w:p>
    <w:p w14:paraId="5A3CCDDB" w14:textId="77777777" w:rsidR="00CE6598" w:rsidRDefault="00836E32">
      <w:pPr>
        <w:jc w:val="both"/>
        <w:rPr>
          <w:lang w:val="en-US"/>
        </w:rPr>
      </w:pPr>
      <w:r>
        <w:rPr>
          <w:lang w:val="en-US"/>
        </w:rPr>
        <w:t xml:space="preserve"> </w:t>
      </w:r>
    </w:p>
    <w:p w14:paraId="69B23FAB" w14:textId="77777777" w:rsidR="00CE6598" w:rsidRDefault="00CE6598">
      <w:pPr>
        <w:jc w:val="both"/>
        <w:rPr>
          <w:lang w:val="en-US"/>
        </w:rPr>
      </w:pPr>
    </w:p>
    <w:sectPr w:rsidR="00CE6598" w:rsidSect="00A1097D">
      <w:footerReference w:type="even" r:id="rId25"/>
      <w:footerReference w:type="default" r:id="rId26"/>
      <w:pgSz w:w="11906" w:h="16838"/>
      <w:pgMar w:top="1440" w:right="1440" w:bottom="1440" w:left="1440" w:header="0" w:footer="0" w:gutter="0"/>
      <w:pgNumType w:start="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8C258" w14:textId="77777777" w:rsidR="001918F3" w:rsidRDefault="001918F3">
      <w:r>
        <w:separator/>
      </w:r>
    </w:p>
  </w:endnote>
  <w:endnote w:type="continuationSeparator" w:id="0">
    <w:p w14:paraId="6095975E" w14:textId="77777777" w:rsidR="001918F3" w:rsidRDefault="0019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FreeSans">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37" w:author="Karhulahti, Veli-Matti" w:date="2022-01-17T22:09:00Z"/>
  <w:sdt>
    <w:sdtPr>
      <w:rPr>
        <w:rStyle w:val="PageNumber"/>
      </w:rPr>
      <w:id w:val="343518592"/>
      <w:docPartObj>
        <w:docPartGallery w:val="Page Numbers (Bottom of Page)"/>
        <w:docPartUnique/>
      </w:docPartObj>
    </w:sdtPr>
    <w:sdtEndPr>
      <w:rPr>
        <w:rStyle w:val="PageNumber"/>
      </w:rPr>
    </w:sdtEndPr>
    <w:sdtContent>
      <w:customXmlInsRangeEnd w:id="37"/>
      <w:p w14:paraId="1CF06867" w14:textId="6F8CDE65" w:rsidR="00A1097D" w:rsidRDefault="00A1097D">
        <w:pPr>
          <w:pStyle w:val="Footer"/>
          <w:framePr w:wrap="none" w:vAnchor="text" w:hAnchor="margin" w:xAlign="center" w:y="1"/>
          <w:rPr>
            <w:ins w:id="38" w:author="Karhulahti, Veli-Matti" w:date="2022-01-17T22:09:00Z"/>
            <w:rStyle w:val="PageNumber"/>
          </w:rPr>
          <w:pPrChange w:id="39" w:author="Karhulahti, Veli-Matti" w:date="2022-01-17T22:10:00Z">
            <w:pPr>
              <w:pStyle w:val="Footer"/>
            </w:pPr>
          </w:pPrChange>
        </w:pPr>
        <w:ins w:id="40" w:author="Karhulahti, Veli-Matti" w:date="2022-01-17T22:09:00Z">
          <w:r>
            <w:rPr>
              <w:rStyle w:val="PageNumber"/>
            </w:rPr>
            <w:fldChar w:fldCharType="begin"/>
          </w:r>
          <w:r>
            <w:rPr>
              <w:rStyle w:val="PageNumber"/>
            </w:rPr>
            <w:instrText xml:space="preserve"> PAGE </w:instrText>
          </w:r>
          <w:r>
            <w:rPr>
              <w:rStyle w:val="PageNumber"/>
            </w:rPr>
            <w:fldChar w:fldCharType="end"/>
          </w:r>
        </w:ins>
      </w:p>
      <w:customXmlInsRangeStart w:id="41" w:author="Karhulahti, Veli-Matti" w:date="2022-01-17T22:09:00Z"/>
    </w:sdtContent>
  </w:sdt>
  <w:customXmlInsRangeEnd w:id="41"/>
  <w:p w14:paraId="40948649" w14:textId="77777777" w:rsidR="00A1097D" w:rsidRDefault="00A1097D">
    <w:pPr>
      <w:pStyle w:val="Footer"/>
      <w:ind w:right="360"/>
      <w:pPrChange w:id="42" w:author="Karhulahti, Veli-Matti" w:date="2022-01-17T22:09: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43" w:author="Karhulahti, Veli-Matti" w:date="2022-01-17T22:09:00Z"/>
  <w:sdt>
    <w:sdtPr>
      <w:rPr>
        <w:rStyle w:val="PageNumber"/>
      </w:rPr>
      <w:id w:val="721403045"/>
      <w:docPartObj>
        <w:docPartGallery w:val="Page Numbers (Bottom of Page)"/>
        <w:docPartUnique/>
      </w:docPartObj>
    </w:sdtPr>
    <w:sdtEndPr>
      <w:rPr>
        <w:rStyle w:val="PageNumber"/>
      </w:rPr>
    </w:sdtEndPr>
    <w:sdtContent>
      <w:customXmlInsRangeEnd w:id="43"/>
      <w:p w14:paraId="680FE088" w14:textId="4C0D20ED" w:rsidR="00A1097D" w:rsidRDefault="00A1097D" w:rsidP="00A1097D">
        <w:pPr>
          <w:pStyle w:val="Footer"/>
          <w:framePr w:wrap="none" w:vAnchor="text" w:hAnchor="margin" w:xAlign="center" w:y="1"/>
          <w:rPr>
            <w:ins w:id="44" w:author="Karhulahti, Veli-Matti" w:date="2022-01-17T22:09:00Z"/>
            <w:rStyle w:val="PageNumber"/>
          </w:rPr>
        </w:pPr>
        <w:ins w:id="45" w:author="Karhulahti, Veli-Matti" w:date="2022-01-17T22:09:00Z">
          <w:r>
            <w:rPr>
              <w:rStyle w:val="PageNumber"/>
            </w:rPr>
            <w:fldChar w:fldCharType="begin"/>
          </w:r>
          <w:r>
            <w:rPr>
              <w:rStyle w:val="PageNumber"/>
            </w:rPr>
            <w:instrText xml:space="preserve"> PAGE </w:instrText>
          </w:r>
        </w:ins>
        <w:r>
          <w:rPr>
            <w:rStyle w:val="PageNumber"/>
          </w:rPr>
          <w:fldChar w:fldCharType="separate"/>
        </w:r>
        <w:r>
          <w:rPr>
            <w:rStyle w:val="PageNumber"/>
            <w:noProof/>
          </w:rPr>
          <w:t>1</w:t>
        </w:r>
        <w:ins w:id="46" w:author="Karhulahti, Veli-Matti" w:date="2022-01-17T22:09:00Z">
          <w:r>
            <w:rPr>
              <w:rStyle w:val="PageNumber"/>
            </w:rPr>
            <w:fldChar w:fldCharType="end"/>
          </w:r>
        </w:ins>
      </w:p>
      <w:customXmlInsRangeStart w:id="47" w:author="Karhulahti, Veli-Matti" w:date="2022-01-17T22:09:00Z"/>
    </w:sdtContent>
  </w:sdt>
  <w:customXmlInsRangeEnd w:id="47"/>
  <w:p w14:paraId="3EE81239" w14:textId="77777777" w:rsidR="00A1097D" w:rsidRDefault="00A1097D" w:rsidP="00A109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62B02" w14:textId="77777777" w:rsidR="001918F3" w:rsidRDefault="001918F3">
      <w:pPr>
        <w:rPr>
          <w:sz w:val="12"/>
        </w:rPr>
      </w:pPr>
      <w:r>
        <w:separator/>
      </w:r>
    </w:p>
  </w:footnote>
  <w:footnote w:type="continuationSeparator" w:id="0">
    <w:p w14:paraId="4EA8B2AB" w14:textId="77777777" w:rsidR="001918F3" w:rsidRDefault="001918F3">
      <w:pPr>
        <w:rPr>
          <w:sz w:val="12"/>
        </w:rPr>
      </w:pPr>
      <w:r>
        <w:continuationSeparator/>
      </w:r>
    </w:p>
  </w:footnote>
  <w:footnote w:id="1">
    <w:p w14:paraId="7EB86215" w14:textId="236E2E33" w:rsidR="00393391" w:rsidRDefault="00393391">
      <w:pPr>
        <w:pStyle w:val="FootnoteText"/>
        <w:rPr>
          <w:lang w:val="en-US"/>
        </w:rPr>
      </w:pPr>
      <w:r>
        <w:rPr>
          <w:rStyle w:val="Znakyprepoznmkupodiarou"/>
        </w:rPr>
        <w:footnoteRef/>
      </w:r>
      <w:r w:rsidRPr="00A0749F">
        <w:rPr>
          <w:lang w:val="en-US"/>
        </w:rPr>
        <w:t xml:space="preserve"> </w:t>
      </w:r>
      <w:r>
        <w:rPr>
          <w:lang w:val="en-US"/>
        </w:rPr>
        <w:t xml:space="preserve">All the applied instruments are self-assessment survey tools, but only one (THL1) asks the respondent to directly assess their gaming problems.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1993"/>
    <w:multiLevelType w:val="multilevel"/>
    <w:tmpl w:val="4DD08D96"/>
    <w:lvl w:ilvl="0">
      <w:start w:val="2"/>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18"/>
        <w:szCs w:val="11"/>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1" w15:restartNumberingAfterBreak="0">
    <w:nsid w:val="19F5084D"/>
    <w:multiLevelType w:val="hybridMultilevel"/>
    <w:tmpl w:val="36E09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37753"/>
    <w:multiLevelType w:val="multilevel"/>
    <w:tmpl w:val="04FA3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730A80"/>
    <w:multiLevelType w:val="multilevel"/>
    <w:tmpl w:val="261A1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EA6487"/>
    <w:multiLevelType w:val="hybridMultilevel"/>
    <w:tmpl w:val="FB8CE5B0"/>
    <w:lvl w:ilvl="0" w:tplc="2368A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AF514C"/>
    <w:multiLevelType w:val="hybridMultilevel"/>
    <w:tmpl w:val="3084934E"/>
    <w:lvl w:ilvl="0" w:tplc="EAE6F6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5970210"/>
    <w:multiLevelType w:val="hybridMultilevel"/>
    <w:tmpl w:val="C0028856"/>
    <w:lvl w:ilvl="0" w:tplc="BE5A18C6">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hulahti, Veli-Matti">
    <w15:presenceInfo w15:providerId="AD" w15:userId="S::vmkarhwu@jyu.fi::b408be96-3604-4782-94bd-cfbed31938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trackRevision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598"/>
    <w:rsid w:val="00010132"/>
    <w:rsid w:val="0001662A"/>
    <w:rsid w:val="00020257"/>
    <w:rsid w:val="00021F2A"/>
    <w:rsid w:val="0005310F"/>
    <w:rsid w:val="00094034"/>
    <w:rsid w:val="000A125C"/>
    <w:rsid w:val="000D7F1A"/>
    <w:rsid w:val="000E4A9F"/>
    <w:rsid w:val="000F4A69"/>
    <w:rsid w:val="000F750B"/>
    <w:rsid w:val="001275C9"/>
    <w:rsid w:val="00152BD1"/>
    <w:rsid w:val="00162CFC"/>
    <w:rsid w:val="00171561"/>
    <w:rsid w:val="001832DA"/>
    <w:rsid w:val="00184873"/>
    <w:rsid w:val="001918F3"/>
    <w:rsid w:val="001A2CEB"/>
    <w:rsid w:val="001B6A74"/>
    <w:rsid w:val="001C2E59"/>
    <w:rsid w:val="001C6F08"/>
    <w:rsid w:val="001C75DA"/>
    <w:rsid w:val="001D4E55"/>
    <w:rsid w:val="001E1C91"/>
    <w:rsid w:val="001E674D"/>
    <w:rsid w:val="0020041A"/>
    <w:rsid w:val="00202491"/>
    <w:rsid w:val="0020509F"/>
    <w:rsid w:val="00207067"/>
    <w:rsid w:val="00220269"/>
    <w:rsid w:val="002467C8"/>
    <w:rsid w:val="00253974"/>
    <w:rsid w:val="002813EC"/>
    <w:rsid w:val="00283369"/>
    <w:rsid w:val="00295CED"/>
    <w:rsid w:val="00297B9D"/>
    <w:rsid w:val="002A0E1B"/>
    <w:rsid w:val="002B1076"/>
    <w:rsid w:val="002C533E"/>
    <w:rsid w:val="002F5735"/>
    <w:rsid w:val="002F7DC4"/>
    <w:rsid w:val="00300AF0"/>
    <w:rsid w:val="003353C1"/>
    <w:rsid w:val="00340327"/>
    <w:rsid w:val="00360E65"/>
    <w:rsid w:val="00372958"/>
    <w:rsid w:val="00380DD8"/>
    <w:rsid w:val="00380F18"/>
    <w:rsid w:val="00385A6B"/>
    <w:rsid w:val="00393391"/>
    <w:rsid w:val="00397E9C"/>
    <w:rsid w:val="003B2D49"/>
    <w:rsid w:val="003C4E86"/>
    <w:rsid w:val="003D00E9"/>
    <w:rsid w:val="003D390F"/>
    <w:rsid w:val="004009A5"/>
    <w:rsid w:val="004078B5"/>
    <w:rsid w:val="004149D1"/>
    <w:rsid w:val="00414C62"/>
    <w:rsid w:val="00415402"/>
    <w:rsid w:val="004212A5"/>
    <w:rsid w:val="00426E98"/>
    <w:rsid w:val="00437CA0"/>
    <w:rsid w:val="004871F5"/>
    <w:rsid w:val="00487ED7"/>
    <w:rsid w:val="004A3481"/>
    <w:rsid w:val="004A53A1"/>
    <w:rsid w:val="004B4627"/>
    <w:rsid w:val="004C1E42"/>
    <w:rsid w:val="004C4113"/>
    <w:rsid w:val="004C5DBD"/>
    <w:rsid w:val="004E1E9D"/>
    <w:rsid w:val="004E538D"/>
    <w:rsid w:val="004F22EC"/>
    <w:rsid w:val="004F753B"/>
    <w:rsid w:val="00500F48"/>
    <w:rsid w:val="00526A27"/>
    <w:rsid w:val="00532874"/>
    <w:rsid w:val="00544B0F"/>
    <w:rsid w:val="00566C13"/>
    <w:rsid w:val="005805ED"/>
    <w:rsid w:val="005929DE"/>
    <w:rsid w:val="00595783"/>
    <w:rsid w:val="005C2D33"/>
    <w:rsid w:val="005E1398"/>
    <w:rsid w:val="005E6A56"/>
    <w:rsid w:val="005F0084"/>
    <w:rsid w:val="006016E6"/>
    <w:rsid w:val="00611563"/>
    <w:rsid w:val="00623A1D"/>
    <w:rsid w:val="0062532B"/>
    <w:rsid w:val="00632542"/>
    <w:rsid w:val="00645EC1"/>
    <w:rsid w:val="00646538"/>
    <w:rsid w:val="00647A80"/>
    <w:rsid w:val="00656E92"/>
    <w:rsid w:val="006910EE"/>
    <w:rsid w:val="00695F6C"/>
    <w:rsid w:val="00697DEB"/>
    <w:rsid w:val="006A5E3B"/>
    <w:rsid w:val="006B0EF6"/>
    <w:rsid w:val="006B32D6"/>
    <w:rsid w:val="006B5F48"/>
    <w:rsid w:val="006B78C1"/>
    <w:rsid w:val="006C74F1"/>
    <w:rsid w:val="006D2663"/>
    <w:rsid w:val="006F2E1A"/>
    <w:rsid w:val="0071385B"/>
    <w:rsid w:val="0072681F"/>
    <w:rsid w:val="00737A59"/>
    <w:rsid w:val="00743BF0"/>
    <w:rsid w:val="00750B22"/>
    <w:rsid w:val="00773361"/>
    <w:rsid w:val="00773F7E"/>
    <w:rsid w:val="00784E52"/>
    <w:rsid w:val="00787E68"/>
    <w:rsid w:val="007A2A9C"/>
    <w:rsid w:val="007A559B"/>
    <w:rsid w:val="007C0C4D"/>
    <w:rsid w:val="007C2D5F"/>
    <w:rsid w:val="007C7461"/>
    <w:rsid w:val="007E4217"/>
    <w:rsid w:val="007F4DE7"/>
    <w:rsid w:val="00815E8A"/>
    <w:rsid w:val="0081637B"/>
    <w:rsid w:val="00833AE6"/>
    <w:rsid w:val="00836E32"/>
    <w:rsid w:val="00845016"/>
    <w:rsid w:val="00866186"/>
    <w:rsid w:val="0088665B"/>
    <w:rsid w:val="008A4EBF"/>
    <w:rsid w:val="008A6727"/>
    <w:rsid w:val="008B300B"/>
    <w:rsid w:val="008C23A3"/>
    <w:rsid w:val="008C3124"/>
    <w:rsid w:val="008D095F"/>
    <w:rsid w:val="008F7B2C"/>
    <w:rsid w:val="0090501A"/>
    <w:rsid w:val="00921AFE"/>
    <w:rsid w:val="0092568C"/>
    <w:rsid w:val="00931558"/>
    <w:rsid w:val="00942B74"/>
    <w:rsid w:val="00951F1B"/>
    <w:rsid w:val="00964001"/>
    <w:rsid w:val="00971850"/>
    <w:rsid w:val="00971B16"/>
    <w:rsid w:val="0098696B"/>
    <w:rsid w:val="009A02B2"/>
    <w:rsid w:val="009E408B"/>
    <w:rsid w:val="00A0749F"/>
    <w:rsid w:val="00A1097D"/>
    <w:rsid w:val="00A10987"/>
    <w:rsid w:val="00A12167"/>
    <w:rsid w:val="00A22BCC"/>
    <w:rsid w:val="00A25E2D"/>
    <w:rsid w:val="00A33F70"/>
    <w:rsid w:val="00A344DE"/>
    <w:rsid w:val="00A36E6A"/>
    <w:rsid w:val="00A41A0B"/>
    <w:rsid w:val="00A56ADF"/>
    <w:rsid w:val="00A62AE1"/>
    <w:rsid w:val="00A70656"/>
    <w:rsid w:val="00A73C0D"/>
    <w:rsid w:val="00A74A7D"/>
    <w:rsid w:val="00A74E86"/>
    <w:rsid w:val="00A827F3"/>
    <w:rsid w:val="00A92502"/>
    <w:rsid w:val="00A956AA"/>
    <w:rsid w:val="00AA016D"/>
    <w:rsid w:val="00AC1EE5"/>
    <w:rsid w:val="00AC69E2"/>
    <w:rsid w:val="00AD0527"/>
    <w:rsid w:val="00AE141E"/>
    <w:rsid w:val="00AE35DE"/>
    <w:rsid w:val="00AF14E3"/>
    <w:rsid w:val="00B104F6"/>
    <w:rsid w:val="00B1075D"/>
    <w:rsid w:val="00B13196"/>
    <w:rsid w:val="00B15977"/>
    <w:rsid w:val="00B1635D"/>
    <w:rsid w:val="00B16D9F"/>
    <w:rsid w:val="00B20EA2"/>
    <w:rsid w:val="00B257F6"/>
    <w:rsid w:val="00B35DA2"/>
    <w:rsid w:val="00B81F15"/>
    <w:rsid w:val="00B82D9B"/>
    <w:rsid w:val="00B83626"/>
    <w:rsid w:val="00B91771"/>
    <w:rsid w:val="00B95286"/>
    <w:rsid w:val="00BA099B"/>
    <w:rsid w:val="00BA1E01"/>
    <w:rsid w:val="00BB76A7"/>
    <w:rsid w:val="00BE449D"/>
    <w:rsid w:val="00BE63B9"/>
    <w:rsid w:val="00BF215C"/>
    <w:rsid w:val="00C06D99"/>
    <w:rsid w:val="00C07CEE"/>
    <w:rsid w:val="00C1082F"/>
    <w:rsid w:val="00C22B66"/>
    <w:rsid w:val="00C24CD3"/>
    <w:rsid w:val="00C50545"/>
    <w:rsid w:val="00C5556E"/>
    <w:rsid w:val="00C7495D"/>
    <w:rsid w:val="00C76B43"/>
    <w:rsid w:val="00C91ED2"/>
    <w:rsid w:val="00CC03CA"/>
    <w:rsid w:val="00CC6CFC"/>
    <w:rsid w:val="00CD2B37"/>
    <w:rsid w:val="00CE6598"/>
    <w:rsid w:val="00D03DD4"/>
    <w:rsid w:val="00D06496"/>
    <w:rsid w:val="00D10A6B"/>
    <w:rsid w:val="00D14131"/>
    <w:rsid w:val="00D1763D"/>
    <w:rsid w:val="00D27FB4"/>
    <w:rsid w:val="00D31A77"/>
    <w:rsid w:val="00D329B4"/>
    <w:rsid w:val="00D4793B"/>
    <w:rsid w:val="00D52639"/>
    <w:rsid w:val="00D52C94"/>
    <w:rsid w:val="00D602CD"/>
    <w:rsid w:val="00D64D61"/>
    <w:rsid w:val="00D735E2"/>
    <w:rsid w:val="00D85FF5"/>
    <w:rsid w:val="00D90185"/>
    <w:rsid w:val="00DB1E9C"/>
    <w:rsid w:val="00DB6683"/>
    <w:rsid w:val="00DF2406"/>
    <w:rsid w:val="00DF432B"/>
    <w:rsid w:val="00E10CF5"/>
    <w:rsid w:val="00E5184A"/>
    <w:rsid w:val="00E553FA"/>
    <w:rsid w:val="00E56F93"/>
    <w:rsid w:val="00E62B0C"/>
    <w:rsid w:val="00E80CAF"/>
    <w:rsid w:val="00E817AE"/>
    <w:rsid w:val="00E831E4"/>
    <w:rsid w:val="00E863B1"/>
    <w:rsid w:val="00E93843"/>
    <w:rsid w:val="00ED0EA0"/>
    <w:rsid w:val="00EE3C81"/>
    <w:rsid w:val="00F262F0"/>
    <w:rsid w:val="00F333F7"/>
    <w:rsid w:val="00F4383F"/>
    <w:rsid w:val="00F50194"/>
    <w:rsid w:val="00F53346"/>
    <w:rsid w:val="00F62C20"/>
    <w:rsid w:val="00F7543A"/>
    <w:rsid w:val="00F86E91"/>
    <w:rsid w:val="00FB342E"/>
    <w:rsid w:val="00FB7027"/>
    <w:rsid w:val="00FD7A7A"/>
    <w:rsid w:val="00FE3FA2"/>
    <w:rsid w:val="00FE5348"/>
    <w:rsid w:val="00FF7C7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73649"/>
  <w15:docId w15:val="{4F78DCDB-26F2-144D-B594-60153355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i-FI" w:eastAsia="ko-K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0EE"/>
    <w:pPr>
      <w:suppressAutoHyphens w:val="0"/>
    </w:pPr>
    <w:rPr>
      <w:rFonts w:ascii="Times New Roman" w:eastAsia="Times New Roman" w:hAnsi="Times New Roman" w:cs="Times New Roman"/>
      <w:sz w:val="24"/>
      <w:szCs w:val="24"/>
      <w:lang w:val="en-FI"/>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fi-FI"/>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fi-FI"/>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fi-FI"/>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fi-FI"/>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fi-FI"/>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qFormat/>
    <w:rPr>
      <w:sz w:val="20"/>
      <w:szCs w:val="20"/>
    </w:rPr>
  </w:style>
  <w:style w:type="character" w:styleId="CommentReference">
    <w:name w:val="annotation reference"/>
    <w:basedOn w:val="DefaultParagraphFont"/>
    <w:qFormat/>
    <w:rPr>
      <w:sz w:val="16"/>
      <w:szCs w:val="16"/>
    </w:rPr>
  </w:style>
  <w:style w:type="character" w:customStyle="1" w:styleId="Internetovodkaz">
    <w:name w:val="Internetový odkaz"/>
    <w:basedOn w:val="DefaultParagraphFont"/>
    <w:uiPriority w:val="99"/>
    <w:unhideWhenUsed/>
    <w:rsid w:val="00704494"/>
    <w:rPr>
      <w:color w:val="0563C1" w:themeColor="hyperlink"/>
      <w:u w:val="single"/>
    </w:rPr>
  </w:style>
  <w:style w:type="character" w:styleId="UnresolvedMention">
    <w:name w:val="Unresolved Mention"/>
    <w:basedOn w:val="DefaultParagraphFont"/>
    <w:qFormat/>
    <w:rPr>
      <w:color w:val="605E5C"/>
      <w:shd w:val="clear" w:color="auto" w:fill="E1DFDD"/>
    </w:rPr>
  </w:style>
  <w:style w:type="character" w:customStyle="1" w:styleId="LineNumbering">
    <w:name w:val="Line Numbering"/>
    <w:qFormat/>
  </w:style>
  <w:style w:type="character" w:customStyle="1" w:styleId="slovanieriadkov">
    <w:name w:val="Číslovanie riadkov"/>
  </w:style>
  <w:style w:type="character" w:customStyle="1" w:styleId="EndnoteTextChar">
    <w:name w:val="Endnote Text Char"/>
    <w:basedOn w:val="DefaultParagraphFont"/>
    <w:link w:val="EndnoteText"/>
    <w:uiPriority w:val="99"/>
    <w:semiHidden/>
    <w:qFormat/>
    <w:rsid w:val="004E6DB3"/>
    <w:rPr>
      <w:rFonts w:ascii="Times New Roman" w:eastAsia="Times New Roman" w:hAnsi="Times New Roman" w:cs="Times New Roman"/>
      <w:sz w:val="20"/>
      <w:szCs w:val="20"/>
    </w:rPr>
  </w:style>
  <w:style w:type="character" w:customStyle="1" w:styleId="Ukotveniekoncovejpoznmky">
    <w:name w:val="Ukotvenie koncovej poznámky"/>
    <w:rPr>
      <w:vertAlign w:val="superscript"/>
    </w:rPr>
  </w:style>
  <w:style w:type="character" w:customStyle="1" w:styleId="EndnoteCharacters">
    <w:name w:val="Endnote Characters"/>
    <w:basedOn w:val="DefaultParagraphFont"/>
    <w:uiPriority w:val="99"/>
    <w:semiHidden/>
    <w:unhideWhenUsed/>
    <w:qFormat/>
    <w:rsid w:val="004E6DB3"/>
    <w:rPr>
      <w:vertAlign w:val="superscript"/>
    </w:rPr>
  </w:style>
  <w:style w:type="character" w:customStyle="1" w:styleId="FootnoteTextChar">
    <w:name w:val="Footnote Text Char"/>
    <w:basedOn w:val="DefaultParagraphFont"/>
    <w:link w:val="FootnoteText"/>
    <w:uiPriority w:val="99"/>
    <w:semiHidden/>
    <w:qFormat/>
    <w:rsid w:val="004E6DB3"/>
    <w:rPr>
      <w:rFonts w:ascii="Times New Roman" w:eastAsia="Times New Roman" w:hAnsi="Times New Roman" w:cs="Times New Roman"/>
      <w:sz w:val="20"/>
      <w:szCs w:val="20"/>
    </w:rPr>
  </w:style>
  <w:style w:type="character" w:customStyle="1" w:styleId="Ukotveniepoznmkypodiarou">
    <w:name w:val="Ukotvenie poznámky pod čiarou"/>
    <w:rPr>
      <w:vertAlign w:val="superscript"/>
    </w:rPr>
  </w:style>
  <w:style w:type="character" w:customStyle="1" w:styleId="FootnoteCharacters">
    <w:name w:val="Footnote Characters"/>
    <w:basedOn w:val="DefaultParagraphFont"/>
    <w:uiPriority w:val="99"/>
    <w:semiHidden/>
    <w:unhideWhenUsed/>
    <w:qFormat/>
    <w:rsid w:val="004E6DB3"/>
    <w:rPr>
      <w:vertAlign w:val="superscript"/>
    </w:rPr>
  </w:style>
  <w:style w:type="character" w:customStyle="1" w:styleId="Znakyprepoznmkupodiarou">
    <w:name w:val="Znaky pre poznámku pod čiarou"/>
    <w:qFormat/>
  </w:style>
  <w:style w:type="character" w:customStyle="1" w:styleId="Znakyprekoncovpoznmku">
    <w:name w:val="Znaky pre koncovú poznámku"/>
    <w:qFormat/>
  </w:style>
  <w:style w:type="paragraph" w:customStyle="1" w:styleId="Nadpis">
    <w:name w:val="Nadpis"/>
    <w:basedOn w:val="Normal"/>
    <w:next w:val="BodyText"/>
    <w:qFormat/>
    <w:pPr>
      <w:keepNext/>
      <w:spacing w:before="240" w:after="120"/>
    </w:pPr>
    <w:rPr>
      <w:rFonts w:ascii="Liberation Sans" w:eastAsia="Noto Sans CJK SC"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fi-FI"/>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fi-FI"/>
    </w:rPr>
  </w:style>
  <w:style w:type="paragraph" w:styleId="CommentText">
    <w:name w:val="annotation text"/>
    <w:basedOn w:val="Normal"/>
    <w:link w:val="CommentTextChar1"/>
    <w:qFormat/>
    <w:rPr>
      <w:rFonts w:ascii="Arial" w:eastAsia="Arial" w:hAnsi="Arial" w:cs="Arial"/>
      <w:sz w:val="20"/>
      <w:szCs w:val="20"/>
      <w:lang w:val="fi-FI"/>
    </w:rPr>
  </w:style>
  <w:style w:type="paragraph" w:styleId="NormalWeb">
    <w:name w:val="Normal (Web)"/>
    <w:basedOn w:val="Normal"/>
    <w:uiPriority w:val="99"/>
    <w:qFormat/>
    <w:pPr>
      <w:spacing w:before="280" w:after="280"/>
    </w:pPr>
  </w:style>
  <w:style w:type="paragraph" w:customStyle="1" w:styleId="Obsahtabuky">
    <w:name w:val="Obsah tabuľky"/>
    <w:basedOn w:val="Normal"/>
    <w:qFormat/>
    <w:pPr>
      <w:widowControl w:val="0"/>
      <w:suppressLineNumbers/>
    </w:pPr>
  </w:style>
  <w:style w:type="paragraph" w:styleId="EndnoteText">
    <w:name w:val="endnote text"/>
    <w:basedOn w:val="Normal"/>
    <w:link w:val="EndnoteTextChar"/>
    <w:uiPriority w:val="99"/>
    <w:semiHidden/>
    <w:unhideWhenUsed/>
    <w:rsid w:val="004E6DB3"/>
    <w:rPr>
      <w:sz w:val="20"/>
      <w:szCs w:val="20"/>
    </w:rPr>
  </w:style>
  <w:style w:type="paragraph" w:styleId="FootnoteText">
    <w:name w:val="footnote text"/>
    <w:basedOn w:val="Normal"/>
    <w:link w:val="FootnoteTextChar"/>
    <w:uiPriority w:val="99"/>
    <w:semiHidden/>
    <w:unhideWhenUsed/>
    <w:rsid w:val="004E6DB3"/>
    <w:rPr>
      <w:sz w:val="20"/>
      <w:szCs w:val="20"/>
    </w:rPr>
  </w:style>
  <w:style w:type="paragraph" w:styleId="Revision">
    <w:name w:val="Revision"/>
    <w:uiPriority w:val="99"/>
    <w:semiHidden/>
    <w:qFormat/>
    <w:rsid w:val="005C7EE6"/>
    <w:pPr>
      <w:suppressAutoHyphens w:val="0"/>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1A2CEB"/>
    <w:rPr>
      <w:vertAlign w:val="superscript"/>
    </w:rPr>
  </w:style>
  <w:style w:type="paragraph" w:styleId="ListParagraph">
    <w:name w:val="List Paragraph"/>
    <w:basedOn w:val="Normal"/>
    <w:uiPriority w:val="34"/>
    <w:qFormat/>
    <w:rsid w:val="00AE141E"/>
    <w:pPr>
      <w:ind w:left="720"/>
      <w:contextualSpacing/>
    </w:pPr>
  </w:style>
  <w:style w:type="table" w:styleId="TableGrid">
    <w:name w:val="Table Grid"/>
    <w:basedOn w:val="TableNormal"/>
    <w:uiPriority w:val="39"/>
    <w:rsid w:val="00487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36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15402"/>
    <w:rPr>
      <w:rFonts w:ascii="Times New Roman" w:eastAsia="Times New Roman" w:hAnsi="Times New Roman" w:cs="Times New Roman"/>
      <w:b/>
      <w:bCs/>
    </w:rPr>
  </w:style>
  <w:style w:type="character" w:customStyle="1" w:styleId="CommentTextChar1">
    <w:name w:val="Comment Text Char1"/>
    <w:basedOn w:val="DefaultParagraphFont"/>
    <w:link w:val="CommentText"/>
    <w:rsid w:val="00415402"/>
    <w:rPr>
      <w:sz w:val="20"/>
      <w:szCs w:val="20"/>
    </w:rPr>
  </w:style>
  <w:style w:type="character" w:customStyle="1" w:styleId="CommentSubjectChar">
    <w:name w:val="Comment Subject Char"/>
    <w:basedOn w:val="CommentTextChar1"/>
    <w:link w:val="CommentSubject"/>
    <w:uiPriority w:val="99"/>
    <w:semiHidden/>
    <w:rsid w:val="0041540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54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402"/>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300AF0"/>
    <w:rPr>
      <w:color w:val="954F72" w:themeColor="followedHyperlink"/>
      <w:u w:val="single"/>
    </w:rPr>
  </w:style>
  <w:style w:type="paragraph" w:styleId="Footer">
    <w:name w:val="footer"/>
    <w:basedOn w:val="Normal"/>
    <w:link w:val="FooterChar"/>
    <w:uiPriority w:val="99"/>
    <w:unhideWhenUsed/>
    <w:rsid w:val="00A1097D"/>
    <w:pPr>
      <w:tabs>
        <w:tab w:val="center" w:pos="4680"/>
        <w:tab w:val="right" w:pos="9360"/>
      </w:tabs>
    </w:pPr>
  </w:style>
  <w:style w:type="character" w:customStyle="1" w:styleId="FooterChar">
    <w:name w:val="Footer Char"/>
    <w:basedOn w:val="DefaultParagraphFont"/>
    <w:link w:val="Footer"/>
    <w:uiPriority w:val="99"/>
    <w:rsid w:val="00A1097D"/>
    <w:rPr>
      <w:rFonts w:ascii="Times New Roman" w:eastAsia="Times New Roman" w:hAnsi="Times New Roman" w:cs="Times New Roman"/>
      <w:sz w:val="24"/>
      <w:szCs w:val="24"/>
      <w:lang w:val="en-FI"/>
    </w:rPr>
  </w:style>
  <w:style w:type="character" w:styleId="PageNumber">
    <w:name w:val="page number"/>
    <w:basedOn w:val="DefaultParagraphFont"/>
    <w:uiPriority w:val="99"/>
    <w:semiHidden/>
    <w:unhideWhenUsed/>
    <w:rsid w:val="00A1097D"/>
  </w:style>
  <w:style w:type="paragraph" w:styleId="Header">
    <w:name w:val="header"/>
    <w:basedOn w:val="Normal"/>
    <w:link w:val="HeaderChar"/>
    <w:uiPriority w:val="99"/>
    <w:unhideWhenUsed/>
    <w:rsid w:val="00A1097D"/>
    <w:pPr>
      <w:tabs>
        <w:tab w:val="center" w:pos="4680"/>
        <w:tab w:val="right" w:pos="9360"/>
      </w:tabs>
    </w:pPr>
  </w:style>
  <w:style w:type="character" w:customStyle="1" w:styleId="HeaderChar">
    <w:name w:val="Header Char"/>
    <w:basedOn w:val="DefaultParagraphFont"/>
    <w:link w:val="Header"/>
    <w:uiPriority w:val="99"/>
    <w:rsid w:val="00A1097D"/>
    <w:rPr>
      <w:rFonts w:ascii="Times New Roman" w:eastAsia="Times New Roman" w:hAnsi="Times New Roman" w:cs="Times New Roman"/>
      <w:sz w:val="24"/>
      <w:szCs w:val="24"/>
      <w:lang w:val="en-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2661">
      <w:bodyDiv w:val="1"/>
      <w:marLeft w:val="0"/>
      <w:marRight w:val="0"/>
      <w:marTop w:val="0"/>
      <w:marBottom w:val="0"/>
      <w:divBdr>
        <w:top w:val="none" w:sz="0" w:space="0" w:color="auto"/>
        <w:left w:val="none" w:sz="0" w:space="0" w:color="auto"/>
        <w:bottom w:val="none" w:sz="0" w:space="0" w:color="auto"/>
        <w:right w:val="none" w:sz="0" w:space="0" w:color="auto"/>
      </w:divBdr>
      <w:divsChild>
        <w:div w:id="1469973882">
          <w:marLeft w:val="0"/>
          <w:marRight w:val="0"/>
          <w:marTop w:val="0"/>
          <w:marBottom w:val="0"/>
          <w:divBdr>
            <w:top w:val="none" w:sz="0" w:space="0" w:color="auto"/>
            <w:left w:val="none" w:sz="0" w:space="0" w:color="auto"/>
            <w:bottom w:val="none" w:sz="0" w:space="0" w:color="auto"/>
            <w:right w:val="none" w:sz="0" w:space="0" w:color="auto"/>
          </w:divBdr>
          <w:divsChild>
            <w:div w:id="1923176788">
              <w:marLeft w:val="0"/>
              <w:marRight w:val="0"/>
              <w:marTop w:val="0"/>
              <w:marBottom w:val="0"/>
              <w:divBdr>
                <w:top w:val="none" w:sz="0" w:space="0" w:color="auto"/>
                <w:left w:val="none" w:sz="0" w:space="0" w:color="auto"/>
                <w:bottom w:val="none" w:sz="0" w:space="0" w:color="auto"/>
                <w:right w:val="none" w:sz="0" w:space="0" w:color="auto"/>
              </w:divBdr>
              <w:divsChild>
                <w:div w:id="741830783">
                  <w:marLeft w:val="0"/>
                  <w:marRight w:val="0"/>
                  <w:marTop w:val="0"/>
                  <w:marBottom w:val="0"/>
                  <w:divBdr>
                    <w:top w:val="none" w:sz="0" w:space="0" w:color="auto"/>
                    <w:left w:val="none" w:sz="0" w:space="0" w:color="auto"/>
                    <w:bottom w:val="none" w:sz="0" w:space="0" w:color="auto"/>
                    <w:right w:val="none" w:sz="0" w:space="0" w:color="auto"/>
                  </w:divBdr>
                </w:div>
              </w:divsChild>
            </w:div>
            <w:div w:id="825584720">
              <w:marLeft w:val="0"/>
              <w:marRight w:val="0"/>
              <w:marTop w:val="0"/>
              <w:marBottom w:val="0"/>
              <w:divBdr>
                <w:top w:val="none" w:sz="0" w:space="0" w:color="auto"/>
                <w:left w:val="none" w:sz="0" w:space="0" w:color="auto"/>
                <w:bottom w:val="none" w:sz="0" w:space="0" w:color="auto"/>
                <w:right w:val="none" w:sz="0" w:space="0" w:color="auto"/>
              </w:divBdr>
              <w:divsChild>
                <w:div w:id="4298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85842">
      <w:bodyDiv w:val="1"/>
      <w:marLeft w:val="0"/>
      <w:marRight w:val="0"/>
      <w:marTop w:val="0"/>
      <w:marBottom w:val="0"/>
      <w:divBdr>
        <w:top w:val="none" w:sz="0" w:space="0" w:color="auto"/>
        <w:left w:val="none" w:sz="0" w:space="0" w:color="auto"/>
        <w:bottom w:val="none" w:sz="0" w:space="0" w:color="auto"/>
        <w:right w:val="none" w:sz="0" w:space="0" w:color="auto"/>
      </w:divBdr>
    </w:div>
    <w:div w:id="624166959">
      <w:bodyDiv w:val="1"/>
      <w:marLeft w:val="0"/>
      <w:marRight w:val="0"/>
      <w:marTop w:val="0"/>
      <w:marBottom w:val="0"/>
      <w:divBdr>
        <w:top w:val="none" w:sz="0" w:space="0" w:color="auto"/>
        <w:left w:val="none" w:sz="0" w:space="0" w:color="auto"/>
        <w:bottom w:val="none" w:sz="0" w:space="0" w:color="auto"/>
        <w:right w:val="none" w:sz="0" w:space="0" w:color="auto"/>
      </w:divBdr>
    </w:div>
    <w:div w:id="679352928">
      <w:bodyDiv w:val="1"/>
      <w:marLeft w:val="0"/>
      <w:marRight w:val="0"/>
      <w:marTop w:val="0"/>
      <w:marBottom w:val="0"/>
      <w:divBdr>
        <w:top w:val="none" w:sz="0" w:space="0" w:color="auto"/>
        <w:left w:val="none" w:sz="0" w:space="0" w:color="auto"/>
        <w:bottom w:val="none" w:sz="0" w:space="0" w:color="auto"/>
        <w:right w:val="none" w:sz="0" w:space="0" w:color="auto"/>
      </w:divBdr>
      <w:divsChild>
        <w:div w:id="374089875">
          <w:marLeft w:val="0"/>
          <w:marRight w:val="0"/>
          <w:marTop w:val="0"/>
          <w:marBottom w:val="0"/>
          <w:divBdr>
            <w:top w:val="none" w:sz="0" w:space="0" w:color="auto"/>
            <w:left w:val="none" w:sz="0" w:space="0" w:color="auto"/>
            <w:bottom w:val="none" w:sz="0" w:space="0" w:color="auto"/>
            <w:right w:val="none" w:sz="0" w:space="0" w:color="auto"/>
          </w:divBdr>
          <w:divsChild>
            <w:div w:id="1158182214">
              <w:marLeft w:val="0"/>
              <w:marRight w:val="0"/>
              <w:marTop w:val="0"/>
              <w:marBottom w:val="0"/>
              <w:divBdr>
                <w:top w:val="none" w:sz="0" w:space="0" w:color="auto"/>
                <w:left w:val="none" w:sz="0" w:space="0" w:color="auto"/>
                <w:bottom w:val="none" w:sz="0" w:space="0" w:color="auto"/>
                <w:right w:val="none" w:sz="0" w:space="0" w:color="auto"/>
              </w:divBdr>
              <w:divsChild>
                <w:div w:id="4260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940122">
      <w:bodyDiv w:val="1"/>
      <w:marLeft w:val="0"/>
      <w:marRight w:val="0"/>
      <w:marTop w:val="0"/>
      <w:marBottom w:val="0"/>
      <w:divBdr>
        <w:top w:val="none" w:sz="0" w:space="0" w:color="auto"/>
        <w:left w:val="none" w:sz="0" w:space="0" w:color="auto"/>
        <w:bottom w:val="none" w:sz="0" w:space="0" w:color="auto"/>
        <w:right w:val="none" w:sz="0" w:space="0" w:color="auto"/>
      </w:divBdr>
      <w:divsChild>
        <w:div w:id="489519727">
          <w:marLeft w:val="0"/>
          <w:marRight w:val="0"/>
          <w:marTop w:val="0"/>
          <w:marBottom w:val="0"/>
          <w:divBdr>
            <w:top w:val="none" w:sz="0" w:space="0" w:color="auto"/>
            <w:left w:val="none" w:sz="0" w:space="0" w:color="auto"/>
            <w:bottom w:val="none" w:sz="0" w:space="0" w:color="auto"/>
            <w:right w:val="none" w:sz="0" w:space="0" w:color="auto"/>
          </w:divBdr>
          <w:divsChild>
            <w:div w:id="659384685">
              <w:marLeft w:val="0"/>
              <w:marRight w:val="0"/>
              <w:marTop w:val="0"/>
              <w:marBottom w:val="0"/>
              <w:divBdr>
                <w:top w:val="none" w:sz="0" w:space="0" w:color="auto"/>
                <w:left w:val="none" w:sz="0" w:space="0" w:color="auto"/>
                <w:bottom w:val="none" w:sz="0" w:space="0" w:color="auto"/>
                <w:right w:val="none" w:sz="0" w:space="0" w:color="auto"/>
              </w:divBdr>
              <w:divsChild>
                <w:div w:id="32089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79634">
      <w:bodyDiv w:val="1"/>
      <w:marLeft w:val="0"/>
      <w:marRight w:val="0"/>
      <w:marTop w:val="0"/>
      <w:marBottom w:val="0"/>
      <w:divBdr>
        <w:top w:val="none" w:sz="0" w:space="0" w:color="auto"/>
        <w:left w:val="none" w:sz="0" w:space="0" w:color="auto"/>
        <w:bottom w:val="none" w:sz="0" w:space="0" w:color="auto"/>
        <w:right w:val="none" w:sz="0" w:space="0" w:color="auto"/>
      </w:divBdr>
      <w:divsChild>
        <w:div w:id="1940217964">
          <w:marLeft w:val="0"/>
          <w:marRight w:val="0"/>
          <w:marTop w:val="0"/>
          <w:marBottom w:val="0"/>
          <w:divBdr>
            <w:top w:val="none" w:sz="0" w:space="0" w:color="auto"/>
            <w:left w:val="none" w:sz="0" w:space="0" w:color="auto"/>
            <w:bottom w:val="none" w:sz="0" w:space="0" w:color="auto"/>
            <w:right w:val="none" w:sz="0" w:space="0" w:color="auto"/>
          </w:divBdr>
          <w:divsChild>
            <w:div w:id="953903034">
              <w:marLeft w:val="0"/>
              <w:marRight w:val="0"/>
              <w:marTop w:val="0"/>
              <w:marBottom w:val="0"/>
              <w:divBdr>
                <w:top w:val="none" w:sz="0" w:space="0" w:color="auto"/>
                <w:left w:val="none" w:sz="0" w:space="0" w:color="auto"/>
                <w:bottom w:val="none" w:sz="0" w:space="0" w:color="auto"/>
                <w:right w:val="none" w:sz="0" w:space="0" w:color="auto"/>
              </w:divBdr>
              <w:divsChild>
                <w:div w:id="7342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2154">
      <w:bodyDiv w:val="1"/>
      <w:marLeft w:val="0"/>
      <w:marRight w:val="0"/>
      <w:marTop w:val="0"/>
      <w:marBottom w:val="0"/>
      <w:divBdr>
        <w:top w:val="none" w:sz="0" w:space="0" w:color="auto"/>
        <w:left w:val="none" w:sz="0" w:space="0" w:color="auto"/>
        <w:bottom w:val="none" w:sz="0" w:space="0" w:color="auto"/>
        <w:right w:val="none" w:sz="0" w:space="0" w:color="auto"/>
      </w:divBdr>
    </w:div>
    <w:div w:id="1218325063">
      <w:bodyDiv w:val="1"/>
      <w:marLeft w:val="0"/>
      <w:marRight w:val="0"/>
      <w:marTop w:val="0"/>
      <w:marBottom w:val="0"/>
      <w:divBdr>
        <w:top w:val="none" w:sz="0" w:space="0" w:color="auto"/>
        <w:left w:val="none" w:sz="0" w:space="0" w:color="auto"/>
        <w:bottom w:val="none" w:sz="0" w:space="0" w:color="auto"/>
        <w:right w:val="none" w:sz="0" w:space="0" w:color="auto"/>
      </w:divBdr>
    </w:div>
    <w:div w:id="1251818287">
      <w:bodyDiv w:val="1"/>
      <w:marLeft w:val="0"/>
      <w:marRight w:val="0"/>
      <w:marTop w:val="0"/>
      <w:marBottom w:val="0"/>
      <w:divBdr>
        <w:top w:val="none" w:sz="0" w:space="0" w:color="auto"/>
        <w:left w:val="none" w:sz="0" w:space="0" w:color="auto"/>
        <w:bottom w:val="none" w:sz="0" w:space="0" w:color="auto"/>
        <w:right w:val="none" w:sz="0" w:space="0" w:color="auto"/>
      </w:divBdr>
      <w:divsChild>
        <w:div w:id="1100564397">
          <w:marLeft w:val="0"/>
          <w:marRight w:val="0"/>
          <w:marTop w:val="0"/>
          <w:marBottom w:val="0"/>
          <w:divBdr>
            <w:top w:val="none" w:sz="0" w:space="0" w:color="auto"/>
            <w:left w:val="none" w:sz="0" w:space="0" w:color="auto"/>
            <w:bottom w:val="none" w:sz="0" w:space="0" w:color="auto"/>
            <w:right w:val="none" w:sz="0" w:space="0" w:color="auto"/>
          </w:divBdr>
          <w:divsChild>
            <w:div w:id="1976792144">
              <w:marLeft w:val="0"/>
              <w:marRight w:val="0"/>
              <w:marTop w:val="0"/>
              <w:marBottom w:val="0"/>
              <w:divBdr>
                <w:top w:val="none" w:sz="0" w:space="0" w:color="auto"/>
                <w:left w:val="none" w:sz="0" w:space="0" w:color="auto"/>
                <w:bottom w:val="none" w:sz="0" w:space="0" w:color="auto"/>
                <w:right w:val="none" w:sz="0" w:space="0" w:color="auto"/>
              </w:divBdr>
              <w:divsChild>
                <w:div w:id="4011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57901">
      <w:bodyDiv w:val="1"/>
      <w:marLeft w:val="0"/>
      <w:marRight w:val="0"/>
      <w:marTop w:val="0"/>
      <w:marBottom w:val="0"/>
      <w:divBdr>
        <w:top w:val="none" w:sz="0" w:space="0" w:color="auto"/>
        <w:left w:val="none" w:sz="0" w:space="0" w:color="auto"/>
        <w:bottom w:val="none" w:sz="0" w:space="0" w:color="auto"/>
        <w:right w:val="none" w:sz="0" w:space="0" w:color="auto"/>
      </w:divBdr>
      <w:divsChild>
        <w:div w:id="410855512">
          <w:marLeft w:val="0"/>
          <w:marRight w:val="0"/>
          <w:marTop w:val="0"/>
          <w:marBottom w:val="0"/>
          <w:divBdr>
            <w:top w:val="none" w:sz="0" w:space="0" w:color="auto"/>
            <w:left w:val="none" w:sz="0" w:space="0" w:color="auto"/>
            <w:bottom w:val="none" w:sz="0" w:space="0" w:color="auto"/>
            <w:right w:val="none" w:sz="0" w:space="0" w:color="auto"/>
          </w:divBdr>
          <w:divsChild>
            <w:div w:id="1160466762">
              <w:marLeft w:val="0"/>
              <w:marRight w:val="0"/>
              <w:marTop w:val="0"/>
              <w:marBottom w:val="0"/>
              <w:divBdr>
                <w:top w:val="none" w:sz="0" w:space="0" w:color="auto"/>
                <w:left w:val="none" w:sz="0" w:space="0" w:color="auto"/>
                <w:bottom w:val="none" w:sz="0" w:space="0" w:color="auto"/>
                <w:right w:val="none" w:sz="0" w:space="0" w:color="auto"/>
              </w:divBdr>
              <w:divsChild>
                <w:div w:id="1729837088">
                  <w:marLeft w:val="0"/>
                  <w:marRight w:val="0"/>
                  <w:marTop w:val="0"/>
                  <w:marBottom w:val="0"/>
                  <w:divBdr>
                    <w:top w:val="none" w:sz="0" w:space="0" w:color="auto"/>
                    <w:left w:val="none" w:sz="0" w:space="0" w:color="auto"/>
                    <w:bottom w:val="none" w:sz="0" w:space="0" w:color="auto"/>
                    <w:right w:val="none" w:sz="0" w:space="0" w:color="auto"/>
                  </w:divBdr>
                </w:div>
              </w:divsChild>
            </w:div>
            <w:div w:id="63526308">
              <w:marLeft w:val="0"/>
              <w:marRight w:val="0"/>
              <w:marTop w:val="0"/>
              <w:marBottom w:val="0"/>
              <w:divBdr>
                <w:top w:val="none" w:sz="0" w:space="0" w:color="auto"/>
                <w:left w:val="none" w:sz="0" w:space="0" w:color="auto"/>
                <w:bottom w:val="none" w:sz="0" w:space="0" w:color="auto"/>
                <w:right w:val="none" w:sz="0" w:space="0" w:color="auto"/>
              </w:divBdr>
              <w:divsChild>
                <w:div w:id="317150532">
                  <w:marLeft w:val="0"/>
                  <w:marRight w:val="0"/>
                  <w:marTop w:val="0"/>
                  <w:marBottom w:val="0"/>
                  <w:divBdr>
                    <w:top w:val="none" w:sz="0" w:space="0" w:color="auto"/>
                    <w:left w:val="none" w:sz="0" w:space="0" w:color="auto"/>
                    <w:bottom w:val="none" w:sz="0" w:space="0" w:color="auto"/>
                    <w:right w:val="none" w:sz="0" w:space="0" w:color="auto"/>
                  </w:divBdr>
                </w:div>
                <w:div w:id="114027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99006">
      <w:bodyDiv w:val="1"/>
      <w:marLeft w:val="0"/>
      <w:marRight w:val="0"/>
      <w:marTop w:val="0"/>
      <w:marBottom w:val="0"/>
      <w:divBdr>
        <w:top w:val="none" w:sz="0" w:space="0" w:color="auto"/>
        <w:left w:val="none" w:sz="0" w:space="0" w:color="auto"/>
        <w:bottom w:val="none" w:sz="0" w:space="0" w:color="auto"/>
        <w:right w:val="none" w:sz="0" w:space="0" w:color="auto"/>
      </w:divBdr>
      <w:divsChild>
        <w:div w:id="1643343501">
          <w:marLeft w:val="0"/>
          <w:marRight w:val="0"/>
          <w:marTop w:val="0"/>
          <w:marBottom w:val="0"/>
          <w:divBdr>
            <w:top w:val="none" w:sz="0" w:space="0" w:color="auto"/>
            <w:left w:val="none" w:sz="0" w:space="0" w:color="auto"/>
            <w:bottom w:val="none" w:sz="0" w:space="0" w:color="auto"/>
            <w:right w:val="none" w:sz="0" w:space="0" w:color="auto"/>
          </w:divBdr>
          <w:divsChild>
            <w:div w:id="402995830">
              <w:marLeft w:val="0"/>
              <w:marRight w:val="0"/>
              <w:marTop w:val="0"/>
              <w:marBottom w:val="0"/>
              <w:divBdr>
                <w:top w:val="none" w:sz="0" w:space="0" w:color="auto"/>
                <w:left w:val="none" w:sz="0" w:space="0" w:color="auto"/>
                <w:bottom w:val="none" w:sz="0" w:space="0" w:color="auto"/>
                <w:right w:val="none" w:sz="0" w:space="0" w:color="auto"/>
              </w:divBdr>
              <w:divsChild>
                <w:div w:id="3425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793313">
      <w:bodyDiv w:val="1"/>
      <w:marLeft w:val="0"/>
      <w:marRight w:val="0"/>
      <w:marTop w:val="0"/>
      <w:marBottom w:val="0"/>
      <w:divBdr>
        <w:top w:val="none" w:sz="0" w:space="0" w:color="auto"/>
        <w:left w:val="none" w:sz="0" w:space="0" w:color="auto"/>
        <w:bottom w:val="none" w:sz="0" w:space="0" w:color="auto"/>
        <w:right w:val="none" w:sz="0" w:space="0" w:color="auto"/>
      </w:divBdr>
    </w:div>
    <w:div w:id="1689671134">
      <w:bodyDiv w:val="1"/>
      <w:marLeft w:val="0"/>
      <w:marRight w:val="0"/>
      <w:marTop w:val="0"/>
      <w:marBottom w:val="0"/>
      <w:divBdr>
        <w:top w:val="none" w:sz="0" w:space="0" w:color="auto"/>
        <w:left w:val="none" w:sz="0" w:space="0" w:color="auto"/>
        <w:bottom w:val="none" w:sz="0" w:space="0" w:color="auto"/>
        <w:right w:val="none" w:sz="0" w:space="0" w:color="auto"/>
      </w:divBdr>
      <w:divsChild>
        <w:div w:id="742802169">
          <w:marLeft w:val="0"/>
          <w:marRight w:val="0"/>
          <w:marTop w:val="0"/>
          <w:marBottom w:val="0"/>
          <w:divBdr>
            <w:top w:val="none" w:sz="0" w:space="0" w:color="auto"/>
            <w:left w:val="none" w:sz="0" w:space="0" w:color="auto"/>
            <w:bottom w:val="none" w:sz="0" w:space="0" w:color="auto"/>
            <w:right w:val="none" w:sz="0" w:space="0" w:color="auto"/>
          </w:divBdr>
          <w:divsChild>
            <w:div w:id="1050033718">
              <w:marLeft w:val="0"/>
              <w:marRight w:val="0"/>
              <w:marTop w:val="0"/>
              <w:marBottom w:val="0"/>
              <w:divBdr>
                <w:top w:val="none" w:sz="0" w:space="0" w:color="auto"/>
                <w:left w:val="none" w:sz="0" w:space="0" w:color="auto"/>
                <w:bottom w:val="none" w:sz="0" w:space="0" w:color="auto"/>
                <w:right w:val="none" w:sz="0" w:space="0" w:color="auto"/>
              </w:divBdr>
              <w:divsChild>
                <w:div w:id="146559160">
                  <w:marLeft w:val="0"/>
                  <w:marRight w:val="0"/>
                  <w:marTop w:val="0"/>
                  <w:marBottom w:val="0"/>
                  <w:divBdr>
                    <w:top w:val="none" w:sz="0" w:space="0" w:color="auto"/>
                    <w:left w:val="none" w:sz="0" w:space="0" w:color="auto"/>
                    <w:bottom w:val="none" w:sz="0" w:space="0" w:color="auto"/>
                    <w:right w:val="none" w:sz="0" w:space="0" w:color="auto"/>
                  </w:divBdr>
                  <w:divsChild>
                    <w:div w:id="116709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605727">
      <w:bodyDiv w:val="1"/>
      <w:marLeft w:val="0"/>
      <w:marRight w:val="0"/>
      <w:marTop w:val="0"/>
      <w:marBottom w:val="0"/>
      <w:divBdr>
        <w:top w:val="none" w:sz="0" w:space="0" w:color="auto"/>
        <w:left w:val="none" w:sz="0" w:space="0" w:color="auto"/>
        <w:bottom w:val="none" w:sz="0" w:space="0" w:color="auto"/>
        <w:right w:val="none" w:sz="0" w:space="0" w:color="auto"/>
      </w:divBdr>
    </w:div>
    <w:div w:id="1923100872">
      <w:bodyDiv w:val="1"/>
      <w:marLeft w:val="0"/>
      <w:marRight w:val="0"/>
      <w:marTop w:val="0"/>
      <w:marBottom w:val="0"/>
      <w:divBdr>
        <w:top w:val="none" w:sz="0" w:space="0" w:color="auto"/>
        <w:left w:val="none" w:sz="0" w:space="0" w:color="auto"/>
        <w:bottom w:val="none" w:sz="0" w:space="0" w:color="auto"/>
        <w:right w:val="none" w:sz="0" w:space="0" w:color="auto"/>
      </w:divBdr>
    </w:div>
    <w:div w:id="2000768343">
      <w:bodyDiv w:val="1"/>
      <w:marLeft w:val="0"/>
      <w:marRight w:val="0"/>
      <w:marTop w:val="0"/>
      <w:marBottom w:val="0"/>
      <w:divBdr>
        <w:top w:val="none" w:sz="0" w:space="0" w:color="auto"/>
        <w:left w:val="none" w:sz="0" w:space="0" w:color="auto"/>
        <w:bottom w:val="none" w:sz="0" w:space="0" w:color="auto"/>
        <w:right w:val="none" w:sz="0" w:space="0" w:color="auto"/>
      </w:divBdr>
      <w:divsChild>
        <w:div w:id="1198087561">
          <w:marLeft w:val="0"/>
          <w:marRight w:val="0"/>
          <w:marTop w:val="0"/>
          <w:marBottom w:val="0"/>
          <w:divBdr>
            <w:top w:val="none" w:sz="0" w:space="0" w:color="auto"/>
            <w:left w:val="none" w:sz="0" w:space="0" w:color="auto"/>
            <w:bottom w:val="none" w:sz="0" w:space="0" w:color="auto"/>
            <w:right w:val="none" w:sz="0" w:space="0" w:color="auto"/>
          </w:divBdr>
          <w:divsChild>
            <w:div w:id="1628588976">
              <w:marLeft w:val="0"/>
              <w:marRight w:val="0"/>
              <w:marTop w:val="0"/>
              <w:marBottom w:val="0"/>
              <w:divBdr>
                <w:top w:val="none" w:sz="0" w:space="0" w:color="auto"/>
                <w:left w:val="none" w:sz="0" w:space="0" w:color="auto"/>
                <w:bottom w:val="none" w:sz="0" w:space="0" w:color="auto"/>
                <w:right w:val="none" w:sz="0" w:space="0" w:color="auto"/>
              </w:divBdr>
              <w:divsChild>
                <w:div w:id="19474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73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althmeasures.net/score-and-interpret/interpret-scores/promis/reference-populations" TargetMode="External"/><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osf.io/6fqm5/" TargetMode="External"/><Relationship Id="rId7" Type="http://schemas.openxmlformats.org/officeDocument/2006/relationships/hyperlink" Target="https://osf.io/6fqm5/" TargetMode="External"/><Relationship Id="rId12" Type="http://schemas.openxmlformats.org/officeDocument/2006/relationships/hyperlink" Target="https://doi" TargetMode="External"/><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ww"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sf.io/6fqm5/" TargetMode="External"/><Relationship Id="rId24" Type="http://schemas.openxmlformats.org/officeDocument/2006/relationships/hyperlink" Target="http://urn"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thl.fi/fi/web/toimintakyky/toimintakyvyn-arviointi/kansallinen-promis-keskus" TargetMode="External"/><Relationship Id="rId28" Type="http://schemas.microsoft.com/office/2011/relationships/people" Target="people.xml"/><Relationship Id="rId10" Type="http://schemas.openxmlformats.org/officeDocument/2006/relationships/image" Target="media/image3.png"/><Relationship Id="rId19" Type="http://schemas.openxmlformats.org/officeDocument/2006/relationships/hyperlink" Target="https://ww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thl.fi/fi/web/toimintakyky/toimintakyvyn-arviointi/kansallinen-promis-keskus" TargetMode="External"/><Relationship Id="rId22" Type="http://schemas.openxmlformats.org/officeDocument/2006/relationships/hyperlink" Target="https://doi.org/10.2307/315131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17</Pages>
  <Words>8342</Words>
  <Characters>47556</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Karhulahti, Veli-Matti</dc:creator>
  <dc:description/>
  <cp:lastModifiedBy>Karhulahti, Veli-Matti</cp:lastModifiedBy>
  <cp:revision>31</cp:revision>
  <dcterms:created xsi:type="dcterms:W3CDTF">2022-01-09T19:32:00Z</dcterms:created>
  <dcterms:modified xsi:type="dcterms:W3CDTF">2022-01-17T20:31:00Z</dcterms:modified>
  <dc:language>sk-SK</dc:language>
</cp:coreProperties>
</file>