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8401" w14:textId="62ABE38A" w:rsidR="00C60B1D" w:rsidRPr="00C60B1D" w:rsidRDefault="00D44D20" w:rsidP="00C60B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44D20">
        <w:rPr>
          <w:rFonts w:ascii="Times New Roman" w:hAnsi="Times New Roman" w:cs="Times New Roman"/>
          <w:sz w:val="24"/>
          <w:szCs w:val="24"/>
        </w:rPr>
        <w:t xml:space="preserve">In this </w:t>
      </w:r>
      <w:r w:rsidR="00C60B1D">
        <w:rPr>
          <w:rFonts w:ascii="Times New Roman" w:hAnsi="Times New Roman" w:cs="Times New Roman"/>
          <w:sz w:val="24"/>
          <w:szCs w:val="24"/>
        </w:rPr>
        <w:t>pre-register study</w:t>
      </w:r>
      <w:r w:rsidRPr="00D44D20">
        <w:rPr>
          <w:rFonts w:ascii="Times New Roman" w:hAnsi="Times New Roman" w:cs="Times New Roman"/>
          <w:sz w:val="24"/>
          <w:szCs w:val="24"/>
        </w:rPr>
        <w:t xml:space="preserve">, </w:t>
      </w:r>
      <w:r w:rsidR="00662A21">
        <w:rPr>
          <w:rFonts w:ascii="Times New Roman" w:hAnsi="Times New Roman" w:cs="Times New Roman"/>
          <w:sz w:val="24"/>
          <w:szCs w:val="24"/>
          <w:lang w:val="en-GB"/>
        </w:rPr>
        <w:t>the authors</w:t>
      </w:r>
      <w:r w:rsidR="00C60B1D" w:rsidRPr="00C60B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0B1D">
        <w:rPr>
          <w:rFonts w:ascii="Times New Roman" w:hAnsi="Times New Roman" w:cs="Times New Roman"/>
          <w:sz w:val="24"/>
          <w:szCs w:val="24"/>
          <w:lang w:val="en-GB"/>
        </w:rPr>
        <w:t xml:space="preserve">aim to </w:t>
      </w:r>
      <w:r w:rsidR="00C60B1D" w:rsidRPr="00C60B1D">
        <w:rPr>
          <w:rFonts w:ascii="Times New Roman" w:hAnsi="Times New Roman" w:cs="Times New Roman"/>
          <w:sz w:val="24"/>
          <w:szCs w:val="24"/>
        </w:rPr>
        <w:t>investigate the dual-task architecture in the study of unconscious processing</w:t>
      </w:r>
      <w:r w:rsidR="00C60B1D">
        <w:rPr>
          <w:rFonts w:ascii="Times New Roman" w:hAnsi="Times New Roman" w:cs="Times New Roman"/>
          <w:sz w:val="24"/>
          <w:szCs w:val="24"/>
        </w:rPr>
        <w:t xml:space="preserve"> </w:t>
      </w:r>
      <w:r w:rsidR="00662A21">
        <w:rPr>
          <w:rFonts w:ascii="Times New Roman" w:hAnsi="Times New Roman" w:cs="Times New Roman"/>
          <w:sz w:val="24"/>
          <w:szCs w:val="24"/>
        </w:rPr>
        <w:t>using</w:t>
      </w:r>
      <w:r w:rsidR="00C60B1D" w:rsidRPr="00C60B1D">
        <w:rPr>
          <w:rFonts w:ascii="Times New Roman" w:hAnsi="Times New Roman" w:cs="Times New Roman"/>
          <w:sz w:val="24"/>
          <w:szCs w:val="24"/>
        </w:rPr>
        <w:t xml:space="preserve"> a metacontrast masking experiment </w:t>
      </w:r>
      <w:r w:rsidR="00662A21">
        <w:rPr>
          <w:rFonts w:ascii="Times New Roman" w:hAnsi="Times New Roman" w:cs="Times New Roman"/>
          <w:sz w:val="24"/>
          <w:szCs w:val="24"/>
        </w:rPr>
        <w:t>and</w:t>
      </w:r>
      <w:r w:rsidR="00C60B1D" w:rsidRPr="00C60B1D">
        <w:rPr>
          <w:rFonts w:ascii="Times New Roman" w:hAnsi="Times New Roman" w:cs="Times New Roman"/>
          <w:sz w:val="24"/>
          <w:szCs w:val="24"/>
        </w:rPr>
        <w:t xml:space="preserve"> event-related potentials (ERPs)</w:t>
      </w:r>
      <w:r w:rsidR="00C60B1D">
        <w:rPr>
          <w:rFonts w:ascii="Times New Roman" w:hAnsi="Times New Roman" w:cs="Times New Roman"/>
          <w:sz w:val="24"/>
          <w:szCs w:val="24"/>
        </w:rPr>
        <w:t>. The authors will</w:t>
      </w:r>
      <w:r w:rsidR="00C60B1D" w:rsidRPr="00C60B1D">
        <w:rPr>
          <w:rFonts w:ascii="Times New Roman" w:hAnsi="Times New Roman" w:cs="Times New Roman"/>
          <w:sz w:val="24"/>
          <w:szCs w:val="24"/>
        </w:rPr>
        <w:t xml:space="preserve"> estimate the influence of response-related parameters on the masked priming effects and study the neural underpinnings of our dual-tasking manipulations.</w:t>
      </w:r>
      <w:r w:rsidR="00C60B1D">
        <w:rPr>
          <w:rFonts w:ascii="Times New Roman" w:hAnsi="Times New Roman" w:cs="Times New Roman"/>
          <w:sz w:val="24"/>
          <w:szCs w:val="24"/>
        </w:rPr>
        <w:t xml:space="preserve"> For that, response modality </w:t>
      </w:r>
      <w:r w:rsidR="00C60B1D" w:rsidRPr="00C60B1D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60B1D">
        <w:rPr>
          <w:rFonts w:ascii="Times New Roman" w:hAnsi="Times New Roman" w:cs="Times New Roman"/>
          <w:sz w:val="24"/>
          <w:szCs w:val="24"/>
          <w:lang w:val="en-GB"/>
        </w:rPr>
        <w:t>vocal or motor</w:t>
      </w:r>
      <w:r w:rsidR="00C60B1D" w:rsidRPr="00C60B1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60B1D">
        <w:rPr>
          <w:rFonts w:ascii="Times New Roman" w:hAnsi="Times New Roman" w:cs="Times New Roman"/>
          <w:sz w:val="24"/>
          <w:szCs w:val="24"/>
          <w:lang w:val="en-GB"/>
        </w:rPr>
        <w:t xml:space="preserve"> and task complexity (low vs. high complexity) will be manipulated, and how these two factors affect</w:t>
      </w:r>
      <w:r w:rsidR="00C60B1D" w:rsidRPr="00C60B1D">
        <w:rPr>
          <w:rFonts w:ascii="Times New Roman" w:hAnsi="Times New Roman" w:cs="Times New Roman"/>
          <w:sz w:val="24"/>
          <w:szCs w:val="24"/>
          <w:lang w:val="en-GB"/>
        </w:rPr>
        <w:t xml:space="preserve"> masked priming effect</w:t>
      </w:r>
      <w:r w:rsidR="00C60B1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60B1D" w:rsidRPr="00C60B1D">
        <w:rPr>
          <w:rFonts w:ascii="Times New Roman" w:hAnsi="Times New Roman" w:cs="Times New Roman"/>
          <w:sz w:val="24"/>
          <w:szCs w:val="24"/>
          <w:lang w:val="en-GB"/>
        </w:rPr>
        <w:t xml:space="preserve"> (i.e., incongruent trials – congruent trials)</w:t>
      </w:r>
      <w:r w:rsidR="00C60B1D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C60B1D" w:rsidRPr="00C60B1D">
        <w:rPr>
          <w:rFonts w:ascii="Times New Roman" w:hAnsi="Times New Roman" w:cs="Times New Roman"/>
          <w:sz w:val="24"/>
          <w:szCs w:val="24"/>
          <w:lang w:val="en-GB"/>
        </w:rPr>
        <w:t xml:space="preserve"> the P3b component</w:t>
      </w:r>
      <w:r w:rsidR="00C60B1D">
        <w:rPr>
          <w:rFonts w:ascii="Times New Roman" w:hAnsi="Times New Roman" w:cs="Times New Roman"/>
          <w:sz w:val="24"/>
          <w:szCs w:val="24"/>
          <w:lang w:val="en-GB"/>
        </w:rPr>
        <w:t xml:space="preserve"> of the ERPs will be studied.</w:t>
      </w:r>
    </w:p>
    <w:p w14:paraId="1AFA2886" w14:textId="15F1D951" w:rsidR="0049659D" w:rsidRPr="0049659D" w:rsidRDefault="00D44D20" w:rsidP="00C60B1D">
      <w:pPr>
        <w:spacing w:after="120" w:line="36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</w:pPr>
      <w:r w:rsidRPr="00D44D2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Overall, </w:t>
      </w:r>
      <w:r w:rsidR="00EF030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>the</w:t>
      </w:r>
      <w:r w:rsidRPr="00D44D2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 p</w:t>
      </w:r>
      <w:r w:rsidR="00C60B1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>roposal</w:t>
      </w:r>
      <w:r w:rsidR="00EF030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 is int</w:t>
      </w:r>
      <w:r w:rsidR="00EF030D" w:rsidRPr="003B6C8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>eresting</w:t>
      </w:r>
      <w:r w:rsidR="003B6C88" w:rsidRPr="003B6C8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, as </w:t>
      </w:r>
      <w:r w:rsidR="00C60B1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both </w:t>
      </w:r>
      <w:r w:rsidR="00662A2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>methodological</w:t>
      </w:r>
      <w:r w:rsidR="00C60B1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 caveats of the priming paradigm and the </w:t>
      </w:r>
      <w:r w:rsidR="00662A2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cognitive correlates of the </w:t>
      </w:r>
      <w:r w:rsidR="00C60B1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P3b are hotly debated topics. </w:t>
      </w:r>
      <w:r w:rsidR="00F42A91" w:rsidRPr="003B6C8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>There</w:t>
      </w:r>
      <w:r w:rsidR="00F42A9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 are some</w:t>
      </w:r>
      <w:r w:rsidRPr="00D44D2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 </w:t>
      </w:r>
      <w:r w:rsidR="00BB114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>issues</w:t>
      </w:r>
      <w:r w:rsidR="000B055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, </w:t>
      </w:r>
      <w:r w:rsidR="00F42A9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however, </w:t>
      </w:r>
      <w:r w:rsidR="000B055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which I believe </w:t>
      </w:r>
      <w:r w:rsidR="00BB114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the authors should address before </w:t>
      </w:r>
      <w:r w:rsidR="00D77A0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>a recommendation</w:t>
      </w:r>
      <w:r w:rsidR="00BB114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 xml:space="preserve"> can be made on the manuscript</w:t>
      </w:r>
      <w:r w:rsidR="0066157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eastAsia="es-ES_tradnl"/>
        </w:rPr>
        <w:t>.</w:t>
      </w:r>
    </w:p>
    <w:p w14:paraId="63592AB5" w14:textId="31270144" w:rsidR="00D44D20" w:rsidRDefault="00BB1147" w:rsidP="009B2C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</w:t>
      </w:r>
    </w:p>
    <w:p w14:paraId="39EC7991" w14:textId="70C51766" w:rsidR="00771C16" w:rsidRPr="00771C16" w:rsidRDefault="00771C16" w:rsidP="00771C16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Pages 3-4</w:t>
      </w:r>
      <w:r w:rsidR="00BB11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F19D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62A21">
        <w:rPr>
          <w:rFonts w:ascii="Times New Roman" w:hAnsi="Times New Roman" w:cs="Times New Roman"/>
          <w:sz w:val="24"/>
          <w:szCs w:val="24"/>
          <w:lang w:val="en-GB"/>
        </w:rPr>
        <w:t>he a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uthors might want to consider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recent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study by Jimenez et al. </w:t>
      </w:r>
      <w:r w:rsidR="006F19D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2023</w:t>
      </w:r>
      <w:r w:rsidR="006F19D1">
        <w:rPr>
          <w:rFonts w:ascii="Times New Roman" w:hAnsi="Times New Roman" w:cs="Times New Roman"/>
          <w:sz w:val="24"/>
          <w:szCs w:val="24"/>
          <w:lang w:val="en-GB"/>
        </w:rPr>
        <w:t xml:space="preserve">) when discussing studies which have used single and dual task priming designs. 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In this study, the authors discuss the dual-task character of the designs w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indirect and direct tasks are presented together</w:t>
      </w:r>
      <w:r w:rsidR="006F19D1">
        <w:rPr>
          <w:rFonts w:ascii="Times New Roman" w:hAnsi="Times New Roman" w:cs="Times New Roman"/>
          <w:sz w:val="24"/>
          <w:szCs w:val="24"/>
          <w:lang w:val="en-GB"/>
        </w:rPr>
        <w:t>. Their results show an increase in overall RTs in the dual-task condition as opposed to the single-task condition, where priming effects are found at specific prime-mask SOAs and an overall decrease in RTs is observed.</w:t>
      </w:r>
    </w:p>
    <w:p w14:paraId="71CE2D92" w14:textId="7BF7874B" w:rsidR="00267096" w:rsidRDefault="00771C16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Page 5, first paragraph. 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The study by </w:t>
      </w:r>
      <w:proofErr w:type="spellStart"/>
      <w:r w:rsidRPr="00771C16">
        <w:rPr>
          <w:rFonts w:ascii="Times New Roman" w:hAnsi="Times New Roman" w:cs="Times New Roman"/>
          <w:sz w:val="24"/>
          <w:szCs w:val="24"/>
          <w:lang w:val="en-GB"/>
        </w:rPr>
        <w:t>Biafora</w:t>
      </w:r>
      <w:proofErr w:type="spellEnd"/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&amp; Schmidt (2022) is not explained in the Intro. Since it seems </w:t>
      </w:r>
      <w:r w:rsidR="0023585D">
        <w:rPr>
          <w:rFonts w:ascii="Times New Roman" w:hAnsi="Times New Roman" w:cs="Times New Roman"/>
          <w:sz w:val="24"/>
          <w:szCs w:val="24"/>
          <w:lang w:val="en-GB"/>
        </w:rPr>
        <w:t>important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to the current study, the reader might benefit from a brief description of that study.</w:t>
      </w:r>
    </w:p>
    <w:p w14:paraId="22A09522" w14:textId="586DD3B6" w:rsidR="00771C16" w:rsidRPr="00771C16" w:rsidRDefault="00771C16" w:rsidP="00771C16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Page 5, second paragraph. “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One commonly used experimental design in the line of masked (unconscious) priming research is metacontrast masking (e.g. Mattler, 2003; </w:t>
      </w:r>
      <w:proofErr w:type="spellStart"/>
      <w:r w:rsidRPr="00771C16">
        <w:rPr>
          <w:rFonts w:ascii="Times New Roman" w:hAnsi="Times New Roman" w:cs="Times New Roman"/>
          <w:sz w:val="24"/>
          <w:szCs w:val="24"/>
          <w:lang w:val="en-GB"/>
        </w:rPr>
        <w:t>Vorberg</w:t>
      </w:r>
      <w:proofErr w:type="spellEnd"/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et al., 2003).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 The authors 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might want to </w:t>
      </w:r>
      <w:r w:rsidR="00662A21">
        <w:rPr>
          <w:rFonts w:ascii="Times New Roman" w:hAnsi="Times New Roman" w:cs="Times New Roman"/>
          <w:sz w:val="24"/>
          <w:szCs w:val="24"/>
          <w:lang w:val="en-GB"/>
        </w:rPr>
        <w:t>include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review by 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Breitmeyer (2015) for further insights on the different techniques to render a stimulus invisible.</w:t>
      </w:r>
    </w:p>
    <w:p w14:paraId="4DEC083E" w14:textId="18F15A32" w:rsidR="00267096" w:rsidRDefault="00771C16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Page 6. 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The aim of th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section </w:t>
      </w:r>
      <w:r>
        <w:rPr>
          <w:rFonts w:ascii="Times New Roman" w:hAnsi="Times New Roman" w:cs="Times New Roman"/>
          <w:sz w:val="24"/>
          <w:szCs w:val="24"/>
          <w:lang w:val="en-GB"/>
        </w:rPr>
        <w:t>presented here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771C16">
        <w:rPr>
          <w:rFonts w:ascii="Times New Roman" w:hAnsi="Times New Roman" w:cs="Times New Roman"/>
          <w:i/>
          <w:iCs/>
          <w:sz w:val="24"/>
          <w:szCs w:val="24"/>
          <w:lang w:val="en-GB"/>
        </w:rPr>
        <w:t>Metacontrast-masked response priming and Dual-tasking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Pr="00771C1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not very clear. Do the authors want to explain that meta-contrast masking is especially suitable to assess priming effects in dual-task paradigms? </w:t>
      </w:r>
      <w:r>
        <w:rPr>
          <w:rFonts w:ascii="Times New Roman" w:hAnsi="Times New Roman" w:cs="Times New Roman"/>
          <w:sz w:val="24"/>
          <w:szCs w:val="24"/>
          <w:lang w:val="en-GB"/>
        </w:rPr>
        <w:t>On the other hand, h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ow does metacontrast masking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specifically 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relate to the PRP and BCE phenomena?</w:t>
      </w:r>
    </w:p>
    <w:p w14:paraId="2306ACCF" w14:textId="3970B435" w:rsidR="00BF67BE" w:rsidRDefault="00771C16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Page 6, last paragraph. </w:t>
      </w:r>
      <w:r w:rsidR="005D1DF4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t is a bit </w:t>
      </w:r>
      <w:r w:rsidR="00662A21">
        <w:rPr>
          <w:rFonts w:ascii="Times New Roman" w:hAnsi="Times New Roman" w:cs="Times New Roman"/>
          <w:sz w:val="24"/>
          <w:szCs w:val="24"/>
          <w:lang w:val="en-GB"/>
        </w:rPr>
        <w:t>difficult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to understand the </w:t>
      </w:r>
      <w:r>
        <w:rPr>
          <w:rFonts w:ascii="Times New Roman" w:hAnsi="Times New Roman" w:cs="Times New Roman"/>
          <w:sz w:val="24"/>
          <w:szCs w:val="24"/>
          <w:lang w:val="en-GB"/>
        </w:rPr>
        <w:t>experimental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 xml:space="preserve"> design of Scerra and Brill (2012). </w:t>
      </w:r>
      <w:r w:rsidR="00662A21">
        <w:rPr>
          <w:rFonts w:ascii="Times New Roman" w:hAnsi="Times New Roman" w:cs="Times New Roman"/>
          <w:sz w:val="24"/>
          <w:szCs w:val="24"/>
          <w:lang w:val="en-GB"/>
        </w:rPr>
        <w:t>Authors may want to consider rephrasing, for example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: "</w:t>
      </w:r>
      <w:r w:rsidR="005D1DF4" w:rsidRPr="005D1DF4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r w:rsidR="005D1DF4" w:rsidRPr="005D1DF4">
        <w:rPr>
          <w:rFonts w:ascii="Times New Roman" w:hAnsi="Times New Roman" w:cs="Times New Roman"/>
          <w:sz w:val="24"/>
          <w:szCs w:val="24"/>
          <w:lang w:val="en-GB"/>
        </w:rPr>
        <w:t xml:space="preserve">Scerra and Brill (2012) tested participants in several multitasking experiments, 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in which the input of both tasks was either presented in the same modality (visual prime and target; unimodal dual-task condition)</w:t>
      </w:r>
      <w:r w:rsidR="005D1DF4" w:rsidRPr="005D1DF4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r w:rsidR="005D1DF4" w:rsidRPr="005D1DF4">
        <w:rPr>
          <w:rFonts w:ascii="Times New Roman" w:hAnsi="Times New Roman" w:cs="Times New Roman"/>
          <w:sz w:val="24"/>
          <w:szCs w:val="24"/>
          <w:lang w:val="en-GB"/>
        </w:rPr>
        <w:t>or via different modalities</w:t>
      </w:r>
      <w:r w:rsidR="005D1D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(tactile prime and visual target or tactile prime and auditory target</w:t>
      </w:r>
      <w:r w:rsidR="005D1DF4">
        <w:rPr>
          <w:rFonts w:ascii="Times New Roman" w:hAnsi="Times New Roman" w:cs="Times New Roman"/>
          <w:sz w:val="24"/>
          <w:szCs w:val="24"/>
          <w:lang w:val="en-GB"/>
        </w:rPr>
        <w:t>; cross modal dual-task condition</w:t>
      </w:r>
      <w:r w:rsidRPr="00771C16">
        <w:rPr>
          <w:rFonts w:ascii="Times New Roman" w:hAnsi="Times New Roman" w:cs="Times New Roman"/>
          <w:sz w:val="24"/>
          <w:szCs w:val="24"/>
          <w:lang w:val="en-GB"/>
        </w:rPr>
        <w:t>)."</w:t>
      </w:r>
    </w:p>
    <w:p w14:paraId="3D9A5E11" w14:textId="77ED5AA7" w:rsidR="003B6C88" w:rsidRDefault="005D1DF4" w:rsidP="003B6C88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D1DF4">
        <w:rPr>
          <w:rFonts w:ascii="Times New Roman" w:hAnsi="Times New Roman" w:cs="Times New Roman"/>
          <w:sz w:val="24"/>
          <w:szCs w:val="24"/>
          <w:lang w:val="en-GB"/>
        </w:rPr>
        <w:t>Page 9.</w:t>
      </w:r>
      <w:r w:rsidRPr="005D1D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authors use </w:t>
      </w:r>
      <w:r w:rsidRPr="005D1D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Task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1 (</w:t>
      </w:r>
      <w:r w:rsidRPr="005D1DF4">
        <w:rPr>
          <w:rFonts w:ascii="Times New Roman" w:hAnsi="Times New Roman" w:cs="Times New Roman"/>
          <w:color w:val="000000"/>
          <w:sz w:val="24"/>
          <w:szCs w:val="24"/>
          <w:lang w:val="en-GB"/>
        </w:rPr>
        <w:t>probe respons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e) and</w:t>
      </w:r>
      <w:r w:rsidRPr="005D1D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Task 2 (prime response)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nomenclature</w:t>
      </w:r>
      <w:r w:rsidRPr="005D1D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Later in the manuscript (e.g., age 19)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5D1DF4">
        <w:rPr>
          <w:rFonts w:ascii="Times New Roman" w:hAnsi="Times New Roman" w:cs="Times New Roman"/>
          <w:sz w:val="24"/>
          <w:szCs w:val="24"/>
          <w:lang w:val="en-GB"/>
        </w:rPr>
        <w:t xml:space="preserve">he authors use </w:t>
      </w:r>
      <w:r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Pr="005D1DF4">
        <w:rPr>
          <w:rFonts w:ascii="Times New Roman" w:hAnsi="Times New Roman" w:cs="Times New Roman"/>
          <w:sz w:val="24"/>
          <w:szCs w:val="24"/>
          <w:lang w:val="en-GB"/>
        </w:rPr>
        <w:t>indirect task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5D1DF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Pr="005D1DF4">
        <w:rPr>
          <w:rFonts w:ascii="Times New Roman" w:hAnsi="Times New Roman" w:cs="Times New Roman"/>
          <w:sz w:val="24"/>
          <w:szCs w:val="24"/>
          <w:lang w:val="en-GB"/>
        </w:rPr>
        <w:t>direct task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5D1DF4">
        <w:rPr>
          <w:rFonts w:ascii="Times New Roman" w:hAnsi="Times New Roman" w:cs="Times New Roman"/>
          <w:sz w:val="24"/>
          <w:szCs w:val="24"/>
          <w:lang w:val="en-GB"/>
        </w:rPr>
        <w:t xml:space="preserve"> instead of task 1 and task 2.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will </w:t>
      </w:r>
      <w:r w:rsidR="00662A21">
        <w:rPr>
          <w:rFonts w:ascii="Times New Roman" w:hAnsi="Times New Roman" w:cs="Times New Roman"/>
          <w:sz w:val="24"/>
          <w:szCs w:val="24"/>
          <w:lang w:val="en-GB"/>
        </w:rPr>
        <w:t>advise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a consistent nomenclature through the manuscript.</w:t>
      </w:r>
    </w:p>
    <w:p w14:paraId="600A4337" w14:textId="4FD17894" w:rsidR="003B6C88" w:rsidRPr="003B6C88" w:rsidRDefault="002226EA" w:rsidP="003B6C88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Page 10, second paragraph. Further references on objective and subjective measures of awareness might be </w:t>
      </w:r>
      <w:r w:rsidR="0023585D">
        <w:rPr>
          <w:rFonts w:ascii="Times New Roman" w:hAnsi="Times New Roman" w:cs="Times New Roman"/>
          <w:sz w:val="24"/>
          <w:szCs w:val="24"/>
          <w:lang w:val="en-GB"/>
        </w:rPr>
        <w:t>added to the one by Hesselmann (2013)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>A recent review on the different measure</w:t>
      </w:r>
      <w:r w:rsidR="001446E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 xml:space="preserve"> of awareness can be fou</w:t>
      </w:r>
      <w:r w:rsidR="00662A21">
        <w:rPr>
          <w:rFonts w:ascii="Times New Roman" w:hAnsi="Times New Roman" w:cs="Times New Roman"/>
          <w:sz w:val="24"/>
          <w:szCs w:val="24"/>
          <w:lang w:val="en-GB"/>
        </w:rPr>
        <w:t>nd in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 xml:space="preserve"> Jimenez et al. </w:t>
      </w:r>
      <w:r w:rsidR="00662A2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>2024</w:t>
      </w:r>
      <w:r w:rsidR="00662A21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which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>he reader might find interesting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 xml:space="preserve"> Also, a more in-depth discussion can be found in Overgaard, 2015; an easier read on </w:t>
      </w:r>
      <w:proofErr w:type="spellStart"/>
      <w:r w:rsidRPr="002226EA">
        <w:rPr>
          <w:rFonts w:ascii="Times New Roman" w:hAnsi="Times New Roman" w:cs="Times New Roman"/>
          <w:sz w:val="24"/>
          <w:szCs w:val="24"/>
          <w:lang w:val="en-GB"/>
        </w:rPr>
        <w:t>Persuh</w:t>
      </w:r>
      <w:proofErr w:type="spellEnd"/>
      <w:r w:rsidRPr="002226EA">
        <w:rPr>
          <w:rFonts w:ascii="Times New Roman" w:hAnsi="Times New Roman" w:cs="Times New Roman"/>
          <w:sz w:val="24"/>
          <w:szCs w:val="24"/>
          <w:lang w:val="en-GB"/>
        </w:rPr>
        <w:t>, 2018.</w:t>
      </w:r>
    </w:p>
    <w:p w14:paraId="3725FCB0" w14:textId="04035C7B" w:rsidR="00426A06" w:rsidRDefault="002226EA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Page 11, first paragraph. 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 xml:space="preserve">It will probably suffice to say that the PAS </w:t>
      </w:r>
      <w:r>
        <w:rPr>
          <w:rFonts w:ascii="Times New Roman" w:hAnsi="Times New Roman" w:cs="Times New Roman"/>
          <w:sz w:val="24"/>
          <w:szCs w:val="24"/>
          <w:lang w:val="en-GB"/>
        </w:rPr>
        <w:t>instructions were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 xml:space="preserve"> administered in German.</w:t>
      </w:r>
    </w:p>
    <w:p w14:paraId="343443F0" w14:textId="320B9E42" w:rsidR="002226EA" w:rsidRDefault="002226EA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Page 12, second paragraph. A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 xml:space="preserve"> recent </w:t>
      </w:r>
      <w:r>
        <w:rPr>
          <w:rFonts w:ascii="Times New Roman" w:hAnsi="Times New Roman" w:cs="Times New Roman"/>
          <w:sz w:val="24"/>
          <w:szCs w:val="24"/>
          <w:lang w:val="en-GB"/>
        </w:rPr>
        <w:t>review on the P3b by Verleger (2020)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 xml:space="preserve"> might be added as a reference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5D6BD8" w14:textId="559DA2F2" w:rsidR="00CC5603" w:rsidRDefault="00CC5603" w:rsidP="009B2C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Methods:</w:t>
      </w:r>
    </w:p>
    <w:p w14:paraId="3FFD9E25" w14:textId="6FAFD043" w:rsidR="00CC5603" w:rsidRDefault="002226EA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Page 14, last paragraph. Block F 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>will be assessed in a separate session without an EEG recording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 xml:space="preserve"> Will Block 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(prime identification task) 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 xml:space="preserve">be administered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 xml:space="preserve">the same day? The measurement of prime awareness would be ideally performed just after the Block </w:t>
      </w:r>
      <w:r>
        <w:rPr>
          <w:rFonts w:ascii="Times New Roman" w:hAnsi="Times New Roman" w:cs="Times New Roman"/>
          <w:sz w:val="24"/>
          <w:szCs w:val="24"/>
          <w:lang w:val="en-GB"/>
        </w:rPr>
        <w:t>E (single task)</w:t>
      </w:r>
      <w:r w:rsidRPr="002226E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8FE3567" w14:textId="6CC37EA7" w:rsidR="0015785E" w:rsidRDefault="0015785E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Page 15. A single SOA of 94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(plus 24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prime presentation) will be used in the experiment. </w:t>
      </w:r>
      <w:r w:rsidRPr="0015785E">
        <w:rPr>
          <w:rFonts w:ascii="Times New Roman" w:hAnsi="Times New Roman" w:cs="Times New Roman"/>
          <w:sz w:val="24"/>
          <w:szCs w:val="24"/>
          <w:lang w:val="en-GB"/>
        </w:rPr>
        <w:t>How is the SOA duration de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>termined</w:t>
      </w:r>
      <w:r w:rsidR="001446E2">
        <w:rPr>
          <w:rFonts w:ascii="Times New Roman" w:hAnsi="Times New Roman" w:cs="Times New Roman"/>
          <w:sz w:val="24"/>
          <w:szCs w:val="24"/>
          <w:lang w:val="en-GB"/>
        </w:rPr>
        <w:t xml:space="preserve"> and justified</w:t>
      </w:r>
      <w:r>
        <w:rPr>
          <w:rFonts w:ascii="Times New Roman" w:hAnsi="Times New Roman" w:cs="Times New Roman"/>
          <w:sz w:val="24"/>
          <w:szCs w:val="24"/>
          <w:lang w:val="en-GB"/>
        </w:rPr>
        <w:t>, is it based on previous research</w:t>
      </w:r>
      <w:r w:rsidRPr="0015785E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GB"/>
        </w:rPr>
        <w:t>Will this stimulus presentation ensure PAS reports in all 4 (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>, depending on the condition</w:t>
      </w:r>
      <w:r>
        <w:rPr>
          <w:rFonts w:ascii="Times New Roman" w:hAnsi="Times New Roman" w:cs="Times New Roman"/>
          <w:sz w:val="24"/>
          <w:szCs w:val="24"/>
          <w:lang w:val="en-GB"/>
        </w:rPr>
        <w:t>) categories?</w:t>
      </w:r>
    </w:p>
    <w:p w14:paraId="4D2FA355" w14:textId="44CDFC71" w:rsidR="0015785E" w:rsidRDefault="0015785E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Page 15. </w:t>
      </w:r>
      <w:r w:rsidR="00F93538">
        <w:rPr>
          <w:rFonts w:ascii="Times New Roman" w:hAnsi="Times New Roman" w:cs="Times New Roman"/>
          <w:sz w:val="24"/>
          <w:szCs w:val="24"/>
          <w:lang w:val="en-GB"/>
        </w:rPr>
        <w:t>I wonder h</w:t>
      </w:r>
      <w:r w:rsidRPr="0015785E">
        <w:rPr>
          <w:rFonts w:ascii="Times New Roman" w:hAnsi="Times New Roman" w:cs="Times New Roman"/>
          <w:sz w:val="24"/>
          <w:szCs w:val="24"/>
          <w:lang w:val="en-GB"/>
        </w:rPr>
        <w:t xml:space="preserve">ow </w:t>
      </w:r>
      <w:r w:rsidR="00F93538" w:rsidRPr="0015785E">
        <w:rPr>
          <w:rFonts w:ascii="Times New Roman" w:hAnsi="Times New Roman" w:cs="Times New Roman"/>
          <w:sz w:val="24"/>
          <w:szCs w:val="24"/>
          <w:lang w:val="en-GB"/>
        </w:rPr>
        <w:t>the authors will</w:t>
      </w:r>
      <w:r w:rsidRPr="0015785E">
        <w:rPr>
          <w:rFonts w:ascii="Times New Roman" w:hAnsi="Times New Roman" w:cs="Times New Roman"/>
          <w:sz w:val="24"/>
          <w:szCs w:val="24"/>
          <w:lang w:val="en-GB"/>
        </w:rPr>
        <w:t xml:space="preserve"> assess that the participants are correctly using the PAS.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 is normally evaluated by introducing</w:t>
      </w:r>
      <w:r w:rsidRPr="0015785E">
        <w:rPr>
          <w:rFonts w:ascii="Times New Roman" w:hAnsi="Times New Roman" w:cs="Times New Roman"/>
          <w:sz w:val="24"/>
          <w:szCs w:val="24"/>
          <w:lang w:val="en-GB"/>
        </w:rPr>
        <w:t xml:space="preserve"> catch-trials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(e.g., prime absent trials).</w:t>
      </w:r>
    </w:p>
    <w:p w14:paraId="59A98FBA" w14:textId="44C52A50" w:rsidR="00F93538" w:rsidRDefault="00F93538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Page 19. Regarding </w:t>
      </w:r>
      <w:r w:rsidRPr="00F93538">
        <w:rPr>
          <w:rFonts w:ascii="Times New Roman" w:hAnsi="Times New Roman" w:cs="Times New Roman"/>
          <w:sz w:val="24"/>
          <w:szCs w:val="24"/>
          <w:lang w:val="en-GB"/>
        </w:rPr>
        <w:t>hypothesis 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if the results show an absence of RT differences and priming effects between </w:t>
      </w:r>
      <w:r w:rsidRPr="00F93538">
        <w:rPr>
          <w:rFonts w:ascii="Times New Roman" w:hAnsi="Times New Roman" w:cs="Times New Roman"/>
          <w:sz w:val="24"/>
          <w:szCs w:val="24"/>
          <w:lang w:val="en-GB"/>
        </w:rPr>
        <w:t>2- and 4-point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PAS, how will the authors interpret these results? In other words, is it possible that the PAS response manipulation does not lead to increased task complexity? </w:t>
      </w:r>
    </w:p>
    <w:p w14:paraId="1D393CD3" w14:textId="4D62920E" w:rsidR="00424271" w:rsidRDefault="00424271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Page 19. Since the authors will explicitly test RT differences between conditions, it may be 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>interesting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explaining why 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1.5 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 xml:space="preserve">interquartile range (IQR) </w:t>
      </w:r>
      <w:r w:rsidR="00654462">
        <w:rPr>
          <w:rFonts w:ascii="Times New Roman" w:hAnsi="Times New Roman" w:cs="Times New Roman"/>
          <w:sz w:val="24"/>
          <w:szCs w:val="24"/>
          <w:lang w:val="en-GB"/>
        </w:rPr>
        <w:t xml:space="preserve">will be used here, and 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6544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654462">
        <w:rPr>
          <w:rFonts w:ascii="Times New Roman" w:hAnsi="Times New Roman" w:cs="Times New Roman"/>
          <w:sz w:val="24"/>
          <w:szCs w:val="24"/>
          <w:lang w:val="en-GB"/>
        </w:rPr>
        <w:t>preferred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>as opposed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3F5F">
        <w:rPr>
          <w:rFonts w:ascii="Times New Roman" w:hAnsi="Times New Roman" w:cs="Times New Roman"/>
          <w:sz w:val="24"/>
          <w:szCs w:val="24"/>
          <w:lang w:val="en-GB"/>
        </w:rPr>
        <w:t>alternative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approaches.</w:t>
      </w:r>
    </w:p>
    <w:p w14:paraId="14256759" w14:textId="0FC5E84F" w:rsidR="00424271" w:rsidRDefault="00424271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Page 20, first paragraph. It is not clear whether i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>n the dual-task condition, all trial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 xml:space="preserve"> will go to the analyses, </w:t>
      </w:r>
      <w:r>
        <w:rPr>
          <w:rFonts w:ascii="Times New Roman" w:hAnsi="Times New Roman" w:cs="Times New Roman"/>
          <w:sz w:val="24"/>
          <w:szCs w:val="24"/>
          <w:lang w:val="en-GB"/>
        </w:rPr>
        <w:t>or only trials for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specific 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 xml:space="preserve">PAS </w:t>
      </w:r>
      <w:r>
        <w:rPr>
          <w:rFonts w:ascii="Times New Roman" w:hAnsi="Times New Roman" w:cs="Times New Roman"/>
          <w:sz w:val="24"/>
          <w:szCs w:val="24"/>
          <w:lang w:val="en-GB"/>
        </w:rPr>
        <w:t>category (e.g., PAS1) will be analysed. If that’s not the case, m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>aybe th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analyses 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 xml:space="preserve">can be </w:t>
      </w:r>
      <w:r>
        <w:rPr>
          <w:rFonts w:ascii="Times New Roman" w:hAnsi="Times New Roman" w:cs="Times New Roman"/>
          <w:sz w:val="24"/>
          <w:szCs w:val="24"/>
          <w:lang w:val="en-GB"/>
        </w:rPr>
        <w:t>included</w:t>
      </w:r>
      <w:r w:rsidRPr="00424271">
        <w:rPr>
          <w:rFonts w:ascii="Times New Roman" w:hAnsi="Times New Roman" w:cs="Times New Roman"/>
          <w:sz w:val="24"/>
          <w:szCs w:val="24"/>
          <w:lang w:val="en-GB"/>
        </w:rPr>
        <w:t xml:space="preserve"> as supplementary?</w:t>
      </w:r>
    </w:p>
    <w:p w14:paraId="66E76131" w14:textId="2F44BE00" w:rsidR="003A604A" w:rsidRDefault="003A604A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Page 20, Exploratory Analyses. </w:t>
      </w:r>
      <w:r w:rsidRPr="003A604A">
        <w:rPr>
          <w:rFonts w:ascii="Times New Roman" w:hAnsi="Times New Roman" w:cs="Times New Roman"/>
          <w:sz w:val="24"/>
          <w:szCs w:val="24"/>
          <w:lang w:val="en-GB"/>
        </w:rPr>
        <w:t xml:space="preserve">How do authors intend to explore P3b latency? </w:t>
      </w:r>
      <w:r w:rsidR="00654462">
        <w:rPr>
          <w:rFonts w:ascii="Times New Roman" w:hAnsi="Times New Roman" w:cs="Times New Roman"/>
          <w:sz w:val="24"/>
          <w:szCs w:val="24"/>
          <w:lang w:val="en-GB"/>
        </w:rPr>
        <w:t xml:space="preserve">Will the authors use a </w:t>
      </w:r>
      <w:r w:rsidR="00654462" w:rsidRPr="00654462">
        <w:rPr>
          <w:rFonts w:ascii="Times New Roman" w:hAnsi="Times New Roman" w:cs="Times New Roman"/>
          <w:sz w:val="24"/>
          <w:szCs w:val="24"/>
          <w:lang w:val="en-GB"/>
        </w:rPr>
        <w:t xml:space="preserve">single-participant approach </w:t>
      </w:r>
      <w:r w:rsidR="00654462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654462" w:rsidRPr="00654462">
        <w:rPr>
          <w:rFonts w:ascii="Times New Roman" w:hAnsi="Times New Roman" w:cs="Times New Roman"/>
          <w:sz w:val="24"/>
          <w:szCs w:val="24"/>
          <w:lang w:val="en-GB"/>
        </w:rPr>
        <w:t xml:space="preserve"> the jackknife approach</w:t>
      </w:r>
      <w:r w:rsidR="00654462">
        <w:rPr>
          <w:rFonts w:ascii="Times New Roman" w:hAnsi="Times New Roman" w:cs="Times New Roman"/>
          <w:sz w:val="24"/>
          <w:szCs w:val="24"/>
          <w:lang w:val="en-GB"/>
        </w:rPr>
        <w:t xml:space="preserve">? Also, based on which specific method (e.g., </w:t>
      </w:r>
      <w:r w:rsidR="00654462" w:rsidRPr="00654462">
        <w:rPr>
          <w:rFonts w:ascii="Times New Roman" w:hAnsi="Times New Roman" w:cs="Times New Roman"/>
          <w:sz w:val="24"/>
          <w:szCs w:val="24"/>
          <w:lang w:val="en-GB"/>
        </w:rPr>
        <w:t>peak latency, absolute criterion,</w:t>
      </w:r>
      <w:r w:rsidR="006544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4462" w:rsidRPr="00654462">
        <w:rPr>
          <w:rFonts w:ascii="Times New Roman" w:hAnsi="Times New Roman" w:cs="Times New Roman"/>
          <w:sz w:val="24"/>
          <w:szCs w:val="24"/>
          <w:lang w:val="en-GB"/>
        </w:rPr>
        <w:t>relative criterion, fractional area</w:t>
      </w:r>
      <w:r w:rsidR="00654462">
        <w:rPr>
          <w:rFonts w:ascii="Times New Roman" w:hAnsi="Times New Roman" w:cs="Times New Roman"/>
          <w:sz w:val="24"/>
          <w:szCs w:val="24"/>
          <w:lang w:val="en-GB"/>
        </w:rPr>
        <w:t>) will the latencies be calculated?</w:t>
      </w:r>
    </w:p>
    <w:p w14:paraId="016079C6" w14:textId="21793831" w:rsidR="00654462" w:rsidRDefault="00654462" w:rsidP="009B2CC1">
      <w:pPr>
        <w:pStyle w:val="ListParagraph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Page 21. Participants will report on their awareness of the primes. However, it is not clear whether</w:t>
      </w:r>
      <w:r w:rsidRPr="00654462">
        <w:rPr>
          <w:rFonts w:ascii="Times New Roman" w:hAnsi="Times New Roman" w:cs="Times New Roman"/>
          <w:sz w:val="24"/>
          <w:szCs w:val="24"/>
          <w:lang w:val="en-GB"/>
        </w:rPr>
        <w:t xml:space="preserve"> the authors pretend to explore the unconscious processing of the primes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or not.</w:t>
      </w:r>
      <w:r w:rsidRPr="00654462">
        <w:rPr>
          <w:rFonts w:ascii="Times New Roman" w:hAnsi="Times New Roman" w:cs="Times New Roman"/>
          <w:sz w:val="24"/>
          <w:szCs w:val="24"/>
          <w:lang w:val="en-GB"/>
        </w:rPr>
        <w:t xml:space="preserve"> In the case of the dual-task blocks, that would involve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including participants awareness (PAS) into the analyses, or otherwise </w:t>
      </w:r>
      <w:r w:rsidRPr="00654462">
        <w:rPr>
          <w:rFonts w:ascii="Times New Roman" w:hAnsi="Times New Roman" w:cs="Times New Roman"/>
          <w:sz w:val="24"/>
          <w:szCs w:val="24"/>
          <w:lang w:val="en-GB"/>
        </w:rPr>
        <w:t xml:space="preserve">exploring </w:t>
      </w:r>
      <w:r>
        <w:rPr>
          <w:rFonts w:ascii="Times New Roman" w:hAnsi="Times New Roman" w:cs="Times New Roman"/>
          <w:sz w:val="24"/>
          <w:szCs w:val="24"/>
          <w:lang w:val="en-GB"/>
        </w:rPr>
        <w:t>congruency</w:t>
      </w:r>
      <w:r w:rsidRPr="00654462">
        <w:rPr>
          <w:rFonts w:ascii="Times New Roman" w:hAnsi="Times New Roman" w:cs="Times New Roman"/>
          <w:sz w:val="24"/>
          <w:szCs w:val="24"/>
          <w:lang w:val="en-GB"/>
        </w:rPr>
        <w:t xml:space="preserve"> effects for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654462">
        <w:rPr>
          <w:rFonts w:ascii="Times New Roman" w:hAnsi="Times New Roman" w:cs="Times New Roman"/>
          <w:sz w:val="24"/>
          <w:szCs w:val="24"/>
          <w:lang w:val="en-GB"/>
        </w:rPr>
        <w:t>PAS1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category.</w:t>
      </w:r>
    </w:p>
    <w:p w14:paraId="73D1818B" w14:textId="77777777" w:rsidR="00B65590" w:rsidRDefault="00B65590" w:rsidP="009B2C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402ACA" w14:textId="77777777" w:rsidR="00B65590" w:rsidRDefault="00B65590" w:rsidP="009B2C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F9688D" w14:textId="77777777" w:rsidR="00B65590" w:rsidRDefault="00B65590" w:rsidP="009B2C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58EB967" w14:textId="77777777" w:rsidR="00B65590" w:rsidRDefault="00B65590" w:rsidP="009B2C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A01FCA" w14:textId="77777777" w:rsidR="00654462" w:rsidRDefault="00654462" w:rsidP="009B2C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9B57F0" w14:textId="77777777" w:rsidR="00654462" w:rsidRDefault="00654462" w:rsidP="009B2C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B55192" w14:textId="77777777" w:rsidR="00654462" w:rsidRDefault="00654462" w:rsidP="009B2C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88CEA86" w14:textId="4CFCC7C5" w:rsidR="00B65590" w:rsidRPr="001446E2" w:rsidRDefault="00B65590" w:rsidP="009B2CC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446E2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References</w:t>
      </w:r>
    </w:p>
    <w:p w14:paraId="60A7D0E9" w14:textId="211F2C99" w:rsidR="00662A21" w:rsidRPr="001446E2" w:rsidRDefault="00662A21" w:rsidP="00662A21">
      <w:pPr>
        <w:spacing w:after="120"/>
        <w:ind w:left="454" w:hanging="45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2A21">
        <w:rPr>
          <w:rFonts w:ascii="Times New Roman" w:hAnsi="Times New Roman" w:cs="Times New Roman"/>
          <w:sz w:val="24"/>
          <w:szCs w:val="24"/>
          <w:lang w:val="en-GB"/>
        </w:rPr>
        <w:t xml:space="preserve">Breitmeyer, B. G. (2015). Psychophysical “blinding” methods reveal a functional hierarchy of unconscious visual processing. </w:t>
      </w:r>
      <w:r w:rsidRPr="001446E2">
        <w:rPr>
          <w:rFonts w:ascii="Times New Roman" w:hAnsi="Times New Roman" w:cs="Times New Roman"/>
          <w:i/>
          <w:iCs/>
          <w:sz w:val="24"/>
          <w:szCs w:val="24"/>
          <w:lang w:val="en-GB"/>
        </w:rPr>
        <w:t>Consciousness and Cognition, 35</w:t>
      </w:r>
      <w:r w:rsidRPr="001446E2">
        <w:rPr>
          <w:rFonts w:ascii="Times New Roman" w:hAnsi="Times New Roman" w:cs="Times New Roman"/>
          <w:sz w:val="24"/>
          <w:szCs w:val="24"/>
          <w:lang w:val="en-GB"/>
        </w:rPr>
        <w:t xml:space="preserve">, 234-250. </w:t>
      </w:r>
      <w:hyperlink r:id="rId7" w:tgtFrame="_blank" w:tooltip="Persistent link using digital object identifier" w:history="1">
        <w:r w:rsidRPr="001446E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https://doi.org/10.1016/j.concog.2015.01.012</w:t>
        </w:r>
      </w:hyperlink>
    </w:p>
    <w:p w14:paraId="7FA75391" w14:textId="55799EC0" w:rsidR="006F19D1" w:rsidRPr="001446E2" w:rsidRDefault="006F19D1" w:rsidP="00662A21">
      <w:pPr>
        <w:spacing w:after="120"/>
        <w:ind w:left="454" w:hanging="45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46E2">
        <w:rPr>
          <w:rFonts w:ascii="Times New Roman" w:hAnsi="Times New Roman" w:cs="Times New Roman"/>
          <w:sz w:val="24"/>
          <w:szCs w:val="24"/>
          <w:lang w:val="en-GB"/>
        </w:rPr>
        <w:t xml:space="preserve">Jimenez, M., Prieto, A., Gomez, P., Hinojosa, J. A., &amp; Montoro, P. R. (2023). </w:t>
      </w:r>
      <w:r w:rsidRPr="006F19D1">
        <w:rPr>
          <w:rFonts w:ascii="Times New Roman" w:hAnsi="Times New Roman" w:cs="Times New Roman"/>
          <w:sz w:val="24"/>
          <w:szCs w:val="24"/>
        </w:rPr>
        <w:t>Masked priming under the Bayesian microscope: Exploring the integration of local elements into global shape through Bayesian model comparison. </w:t>
      </w:r>
      <w:r w:rsidRPr="006F19D1">
        <w:rPr>
          <w:rFonts w:ascii="Times New Roman" w:hAnsi="Times New Roman" w:cs="Times New Roman"/>
          <w:i/>
          <w:iCs/>
          <w:sz w:val="24"/>
          <w:szCs w:val="24"/>
        </w:rPr>
        <w:t>Consciousness and Cognition</w:t>
      </w:r>
      <w:r w:rsidRPr="006F19D1">
        <w:rPr>
          <w:rFonts w:ascii="Times New Roman" w:hAnsi="Times New Roman" w:cs="Times New Roman"/>
          <w:sz w:val="24"/>
          <w:szCs w:val="24"/>
        </w:rPr>
        <w:t>, </w:t>
      </w:r>
      <w:r w:rsidRPr="006F19D1">
        <w:rPr>
          <w:rFonts w:ascii="Times New Roman" w:hAnsi="Times New Roman" w:cs="Times New Roman"/>
          <w:i/>
          <w:iCs/>
          <w:sz w:val="24"/>
          <w:szCs w:val="24"/>
        </w:rPr>
        <w:t>115</w:t>
      </w:r>
      <w:r w:rsidRPr="006F19D1">
        <w:rPr>
          <w:rFonts w:ascii="Times New Roman" w:hAnsi="Times New Roman" w:cs="Times New Roman"/>
          <w:sz w:val="24"/>
          <w:szCs w:val="24"/>
        </w:rPr>
        <w:t>, 103568.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tooltip="Persistent link using digital object identifier" w:history="1">
        <w:r w:rsidRPr="006F19D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https://doi.org/10.1016/j.concog.2023.103568</w:t>
        </w:r>
      </w:hyperlink>
    </w:p>
    <w:p w14:paraId="02A77637" w14:textId="04BAE3E4" w:rsidR="00B65590" w:rsidRDefault="00B65590" w:rsidP="00662A21">
      <w:pPr>
        <w:spacing w:after="120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1446E2">
        <w:rPr>
          <w:rFonts w:ascii="Times New Roman" w:hAnsi="Times New Roman" w:cs="Times New Roman"/>
          <w:sz w:val="24"/>
          <w:szCs w:val="24"/>
          <w:lang w:val="en-GB"/>
        </w:rPr>
        <w:t>Jimenez, M., Prieto, A., Hinojosa, J. A., &amp; Montoro, P. R. (2024). </w:t>
      </w:r>
      <w:r w:rsidRPr="00B65590">
        <w:rPr>
          <w:rFonts w:ascii="Times New Roman" w:hAnsi="Times New Roman" w:cs="Times New Roman"/>
          <w:sz w:val="24"/>
          <w:szCs w:val="24"/>
        </w:rPr>
        <w:t xml:space="preserve">Consciousness under the spotlight: the problem of measuring subjective experience. </w:t>
      </w:r>
      <w:proofErr w:type="spellStart"/>
      <w:r>
        <w:rPr>
          <w:rFonts w:ascii="Times New Roman" w:hAnsi="Times New Roman" w:cs="Times New Roman"/>
          <w:sz w:val="24"/>
          <w:szCs w:val="24"/>
        </w:rPr>
        <w:t>Psyarxiv</w:t>
      </w:r>
      <w:proofErr w:type="spellEnd"/>
      <w:r w:rsidR="00A710F8">
        <w:rPr>
          <w:rFonts w:ascii="Times New Roman" w:hAnsi="Times New Roman" w:cs="Times New Roman"/>
          <w:sz w:val="24"/>
          <w:szCs w:val="24"/>
        </w:rPr>
        <w:t xml:space="preserve"> (preprint). </w:t>
      </w:r>
      <w:hyperlink r:id="rId9" w:tgtFrame="_self" w:history="1">
        <w:r w:rsidR="00A710F8" w:rsidRPr="00A710F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https://doi.org/10.31234/osf.io/r4nz3</w:t>
        </w:r>
      </w:hyperlink>
    </w:p>
    <w:p w14:paraId="3C9226BC" w14:textId="7C573EB7" w:rsidR="00A710F8" w:rsidRDefault="00A710F8" w:rsidP="00662A21">
      <w:pPr>
        <w:spacing w:after="120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A710F8">
        <w:rPr>
          <w:rFonts w:ascii="Times New Roman" w:hAnsi="Times New Roman" w:cs="Times New Roman"/>
          <w:sz w:val="24"/>
          <w:szCs w:val="24"/>
        </w:rPr>
        <w:t>Overgaard, M. (Ed.). (2015). </w:t>
      </w:r>
      <w:proofErr w:type="spellStart"/>
      <w:r w:rsidRPr="00A710F8">
        <w:rPr>
          <w:rFonts w:ascii="Times New Roman" w:hAnsi="Times New Roman" w:cs="Times New Roman"/>
          <w:i/>
          <w:iCs/>
          <w:sz w:val="24"/>
          <w:szCs w:val="24"/>
        </w:rPr>
        <w:t>Behavioural</w:t>
      </w:r>
      <w:proofErr w:type="spellEnd"/>
      <w:r w:rsidRPr="00A710F8">
        <w:rPr>
          <w:rFonts w:ascii="Times New Roman" w:hAnsi="Times New Roman" w:cs="Times New Roman"/>
          <w:i/>
          <w:iCs/>
          <w:sz w:val="24"/>
          <w:szCs w:val="24"/>
        </w:rPr>
        <w:t xml:space="preserve"> methods in consciousness research</w:t>
      </w:r>
      <w:r w:rsidRPr="00A710F8">
        <w:rPr>
          <w:rFonts w:ascii="Times New Roman" w:hAnsi="Times New Roman" w:cs="Times New Roman"/>
          <w:sz w:val="24"/>
          <w:szCs w:val="24"/>
        </w:rPr>
        <w:t>. Oxford University Press, USA.</w:t>
      </w:r>
    </w:p>
    <w:p w14:paraId="62F1CBE4" w14:textId="4F34D8D4" w:rsidR="006F19D1" w:rsidRDefault="006F19D1" w:rsidP="00662A21">
      <w:pPr>
        <w:spacing w:after="120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9D1">
        <w:rPr>
          <w:rFonts w:ascii="Times New Roman" w:hAnsi="Times New Roman" w:cs="Times New Roman"/>
          <w:sz w:val="24"/>
          <w:szCs w:val="24"/>
        </w:rPr>
        <w:t>Persuh</w:t>
      </w:r>
      <w:proofErr w:type="spellEnd"/>
      <w:r w:rsidRPr="006F19D1">
        <w:rPr>
          <w:rFonts w:ascii="Times New Roman" w:hAnsi="Times New Roman" w:cs="Times New Roman"/>
          <w:sz w:val="24"/>
          <w:szCs w:val="24"/>
        </w:rPr>
        <w:t>, M. (2018). Measuring perceptual consciousness. </w:t>
      </w:r>
      <w:r w:rsidRPr="006F19D1">
        <w:rPr>
          <w:rFonts w:ascii="Times New Roman" w:hAnsi="Times New Roman" w:cs="Times New Roman"/>
          <w:i/>
          <w:iCs/>
          <w:sz w:val="24"/>
          <w:szCs w:val="24"/>
        </w:rPr>
        <w:t>Frontiers in psychology</w:t>
      </w:r>
      <w:r w:rsidRPr="006F19D1">
        <w:rPr>
          <w:rFonts w:ascii="Times New Roman" w:hAnsi="Times New Roman" w:cs="Times New Roman"/>
          <w:sz w:val="24"/>
          <w:szCs w:val="24"/>
        </w:rPr>
        <w:t>, </w:t>
      </w:r>
      <w:r w:rsidRPr="006F19D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6F19D1">
        <w:rPr>
          <w:rFonts w:ascii="Times New Roman" w:hAnsi="Times New Roman" w:cs="Times New Roman"/>
          <w:sz w:val="24"/>
          <w:szCs w:val="24"/>
        </w:rPr>
        <w:t>, 332012.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F19D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https://doi.org/10.3389/fpsyg.2017.02320</w:t>
        </w:r>
      </w:hyperlink>
    </w:p>
    <w:p w14:paraId="1C65B108" w14:textId="3A582E79" w:rsidR="008E3F5F" w:rsidRDefault="008E3F5F" w:rsidP="00662A21">
      <w:pPr>
        <w:spacing w:after="120"/>
        <w:ind w:left="454" w:hanging="45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3F5F">
        <w:rPr>
          <w:rFonts w:ascii="Times New Roman" w:hAnsi="Times New Roman" w:cs="Times New Roman"/>
          <w:sz w:val="24"/>
          <w:szCs w:val="24"/>
          <w:lang w:val="en-GB"/>
        </w:rPr>
        <w:t xml:space="preserve">Verleger, R. (2020). Effects of relevance and response frequency on P3b amplitudes: Review of findings and comparison of hypotheses about the process reflected by P3b. </w:t>
      </w:r>
      <w:r w:rsidRPr="008E3F5F">
        <w:rPr>
          <w:rFonts w:ascii="Times New Roman" w:hAnsi="Times New Roman" w:cs="Times New Roman"/>
          <w:i/>
          <w:iCs/>
          <w:sz w:val="24"/>
          <w:szCs w:val="24"/>
          <w:lang w:val="en-GB"/>
        </w:rPr>
        <w:t>Psychophysiology, 57(7)</w:t>
      </w:r>
      <w:r w:rsidRPr="008E3F5F">
        <w:rPr>
          <w:rFonts w:ascii="Times New Roman" w:hAnsi="Times New Roman" w:cs="Times New Roman"/>
          <w:sz w:val="24"/>
          <w:szCs w:val="24"/>
          <w:lang w:val="en-GB"/>
        </w:rPr>
        <w:t>, e13542.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1" w:history="1">
        <w:r w:rsidRPr="0029649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https://doi.org/10.1111/psyp.1354</w:t>
        </w:r>
      </w:hyperlink>
    </w:p>
    <w:p w14:paraId="5123ACF9" w14:textId="77777777" w:rsidR="008E3F5F" w:rsidRDefault="008E3F5F" w:rsidP="00662A21">
      <w:pPr>
        <w:spacing w:after="120"/>
        <w:ind w:left="454" w:hanging="45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EB2EC2" w14:textId="77777777" w:rsidR="00424271" w:rsidRPr="00426A06" w:rsidRDefault="00424271" w:rsidP="00662A21">
      <w:pPr>
        <w:spacing w:after="120"/>
        <w:ind w:left="454" w:hanging="45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24271" w:rsidRPr="00426A0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8587" w14:textId="77777777" w:rsidR="00D43147" w:rsidRDefault="00D43147" w:rsidP="002F06BE">
      <w:pPr>
        <w:spacing w:after="0" w:line="240" w:lineRule="auto"/>
      </w:pPr>
      <w:r>
        <w:separator/>
      </w:r>
    </w:p>
  </w:endnote>
  <w:endnote w:type="continuationSeparator" w:id="0">
    <w:p w14:paraId="2E8D5CA3" w14:textId="77777777" w:rsidR="00D43147" w:rsidRDefault="00D43147" w:rsidP="002F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205751"/>
      <w:docPartObj>
        <w:docPartGallery w:val="Page Numbers (Bottom of Page)"/>
        <w:docPartUnique/>
      </w:docPartObj>
    </w:sdtPr>
    <w:sdtContent>
      <w:p w14:paraId="1B2E24A9" w14:textId="608E303C" w:rsidR="002F06BE" w:rsidRDefault="002F06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551706D" w14:textId="77777777" w:rsidR="002F06BE" w:rsidRDefault="002F0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ED07" w14:textId="77777777" w:rsidR="00D43147" w:rsidRDefault="00D43147" w:rsidP="002F06BE">
      <w:pPr>
        <w:spacing w:after="0" w:line="240" w:lineRule="auto"/>
      </w:pPr>
      <w:r>
        <w:separator/>
      </w:r>
    </w:p>
  </w:footnote>
  <w:footnote w:type="continuationSeparator" w:id="0">
    <w:p w14:paraId="4D8DD04D" w14:textId="77777777" w:rsidR="00D43147" w:rsidRDefault="00D43147" w:rsidP="002F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8F9"/>
    <w:multiLevelType w:val="hybridMultilevel"/>
    <w:tmpl w:val="ACB8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C528E"/>
    <w:multiLevelType w:val="hybridMultilevel"/>
    <w:tmpl w:val="8BC2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29A5"/>
    <w:multiLevelType w:val="hybridMultilevel"/>
    <w:tmpl w:val="9CA6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59DD"/>
    <w:multiLevelType w:val="hybridMultilevel"/>
    <w:tmpl w:val="BBD21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B2E7B"/>
    <w:multiLevelType w:val="hybridMultilevel"/>
    <w:tmpl w:val="8E34007C"/>
    <w:lvl w:ilvl="0" w:tplc="79D2F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6841"/>
    <w:multiLevelType w:val="hybridMultilevel"/>
    <w:tmpl w:val="8B3854DA"/>
    <w:lvl w:ilvl="0" w:tplc="9BF6C56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00373"/>
    <w:multiLevelType w:val="hybridMultilevel"/>
    <w:tmpl w:val="E59E6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6608"/>
    <w:multiLevelType w:val="hybridMultilevel"/>
    <w:tmpl w:val="A23C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C5EBE"/>
    <w:multiLevelType w:val="hybridMultilevel"/>
    <w:tmpl w:val="27068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B1FD7"/>
    <w:multiLevelType w:val="hybridMultilevel"/>
    <w:tmpl w:val="F4B2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18731">
    <w:abstractNumId w:val="3"/>
  </w:num>
  <w:num w:numId="2" w16cid:durableId="753823496">
    <w:abstractNumId w:val="2"/>
  </w:num>
  <w:num w:numId="3" w16cid:durableId="1578249936">
    <w:abstractNumId w:val="0"/>
  </w:num>
  <w:num w:numId="4" w16cid:durableId="1750808419">
    <w:abstractNumId w:val="6"/>
  </w:num>
  <w:num w:numId="5" w16cid:durableId="1671717153">
    <w:abstractNumId w:val="1"/>
  </w:num>
  <w:num w:numId="6" w16cid:durableId="2082557956">
    <w:abstractNumId w:val="5"/>
  </w:num>
  <w:num w:numId="7" w16cid:durableId="1245145239">
    <w:abstractNumId w:val="9"/>
  </w:num>
  <w:num w:numId="8" w16cid:durableId="1700930511">
    <w:abstractNumId w:val="7"/>
  </w:num>
  <w:num w:numId="9" w16cid:durableId="1557399123">
    <w:abstractNumId w:val="8"/>
  </w:num>
  <w:num w:numId="10" w16cid:durableId="622149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20"/>
    <w:rsid w:val="000063D1"/>
    <w:rsid w:val="00027B70"/>
    <w:rsid w:val="000367C3"/>
    <w:rsid w:val="000415CF"/>
    <w:rsid w:val="0005254F"/>
    <w:rsid w:val="0005377A"/>
    <w:rsid w:val="0007673D"/>
    <w:rsid w:val="000A388C"/>
    <w:rsid w:val="000B055B"/>
    <w:rsid w:val="000B71FB"/>
    <w:rsid w:val="000E5544"/>
    <w:rsid w:val="000F7018"/>
    <w:rsid w:val="001446E2"/>
    <w:rsid w:val="0015347C"/>
    <w:rsid w:val="0015785E"/>
    <w:rsid w:val="00180F3D"/>
    <w:rsid w:val="001956F6"/>
    <w:rsid w:val="001976B0"/>
    <w:rsid w:val="001C7D72"/>
    <w:rsid w:val="001D52A6"/>
    <w:rsid w:val="001D7DEA"/>
    <w:rsid w:val="001F06DD"/>
    <w:rsid w:val="001F2E68"/>
    <w:rsid w:val="00213490"/>
    <w:rsid w:val="002226EA"/>
    <w:rsid w:val="0023585D"/>
    <w:rsid w:val="002546F2"/>
    <w:rsid w:val="00267096"/>
    <w:rsid w:val="00271FCA"/>
    <w:rsid w:val="002825FD"/>
    <w:rsid w:val="00295387"/>
    <w:rsid w:val="002B7E1B"/>
    <w:rsid w:val="002F06BE"/>
    <w:rsid w:val="00303FD7"/>
    <w:rsid w:val="00314B7C"/>
    <w:rsid w:val="00317871"/>
    <w:rsid w:val="00326D21"/>
    <w:rsid w:val="003279F6"/>
    <w:rsid w:val="00337582"/>
    <w:rsid w:val="00342857"/>
    <w:rsid w:val="00360BB0"/>
    <w:rsid w:val="00371355"/>
    <w:rsid w:val="0039116C"/>
    <w:rsid w:val="003A604A"/>
    <w:rsid w:val="003B6C88"/>
    <w:rsid w:val="003C175E"/>
    <w:rsid w:val="003E32E4"/>
    <w:rsid w:val="00404954"/>
    <w:rsid w:val="00424271"/>
    <w:rsid w:val="00426A06"/>
    <w:rsid w:val="0049659D"/>
    <w:rsid w:val="004C0276"/>
    <w:rsid w:val="004D45A3"/>
    <w:rsid w:val="004E1F04"/>
    <w:rsid w:val="00507AA9"/>
    <w:rsid w:val="00586AA8"/>
    <w:rsid w:val="005A1E09"/>
    <w:rsid w:val="005B099B"/>
    <w:rsid w:val="005C2C52"/>
    <w:rsid w:val="005C3F74"/>
    <w:rsid w:val="005C6CCB"/>
    <w:rsid w:val="005D1DF4"/>
    <w:rsid w:val="00616899"/>
    <w:rsid w:val="00654462"/>
    <w:rsid w:val="00660EF2"/>
    <w:rsid w:val="00661577"/>
    <w:rsid w:val="00662A21"/>
    <w:rsid w:val="006B6501"/>
    <w:rsid w:val="006E3F49"/>
    <w:rsid w:val="006F19D1"/>
    <w:rsid w:val="006F408D"/>
    <w:rsid w:val="00710600"/>
    <w:rsid w:val="007176EB"/>
    <w:rsid w:val="00734F51"/>
    <w:rsid w:val="00770E3D"/>
    <w:rsid w:val="00771C16"/>
    <w:rsid w:val="007818D1"/>
    <w:rsid w:val="007A12B7"/>
    <w:rsid w:val="007B467A"/>
    <w:rsid w:val="007C30FE"/>
    <w:rsid w:val="007D7E3C"/>
    <w:rsid w:val="007F2E3D"/>
    <w:rsid w:val="00800C4B"/>
    <w:rsid w:val="00832B3C"/>
    <w:rsid w:val="0083671E"/>
    <w:rsid w:val="00856742"/>
    <w:rsid w:val="008A387E"/>
    <w:rsid w:val="008B6476"/>
    <w:rsid w:val="008C0B50"/>
    <w:rsid w:val="008E3F5F"/>
    <w:rsid w:val="00922803"/>
    <w:rsid w:val="00937BD8"/>
    <w:rsid w:val="00966956"/>
    <w:rsid w:val="009704AE"/>
    <w:rsid w:val="00976405"/>
    <w:rsid w:val="009859FB"/>
    <w:rsid w:val="009A0E9D"/>
    <w:rsid w:val="009B2CC1"/>
    <w:rsid w:val="009D3BAE"/>
    <w:rsid w:val="009D5F0C"/>
    <w:rsid w:val="00A00EDD"/>
    <w:rsid w:val="00A35CE8"/>
    <w:rsid w:val="00A6560F"/>
    <w:rsid w:val="00A710F8"/>
    <w:rsid w:val="00AC0BC9"/>
    <w:rsid w:val="00AC5110"/>
    <w:rsid w:val="00AD281B"/>
    <w:rsid w:val="00AD4FDB"/>
    <w:rsid w:val="00B321FF"/>
    <w:rsid w:val="00B470AF"/>
    <w:rsid w:val="00B62C10"/>
    <w:rsid w:val="00B65590"/>
    <w:rsid w:val="00B65BCA"/>
    <w:rsid w:val="00B73226"/>
    <w:rsid w:val="00B7508B"/>
    <w:rsid w:val="00BB1147"/>
    <w:rsid w:val="00BB67AD"/>
    <w:rsid w:val="00BE7D74"/>
    <w:rsid w:val="00BF67BE"/>
    <w:rsid w:val="00C5004C"/>
    <w:rsid w:val="00C60B1D"/>
    <w:rsid w:val="00C708E8"/>
    <w:rsid w:val="00C70D57"/>
    <w:rsid w:val="00CB4368"/>
    <w:rsid w:val="00CC03B1"/>
    <w:rsid w:val="00CC5603"/>
    <w:rsid w:val="00CD51F0"/>
    <w:rsid w:val="00CF4E8F"/>
    <w:rsid w:val="00D43147"/>
    <w:rsid w:val="00D443C4"/>
    <w:rsid w:val="00D44D20"/>
    <w:rsid w:val="00D45187"/>
    <w:rsid w:val="00D61244"/>
    <w:rsid w:val="00D77A08"/>
    <w:rsid w:val="00D86159"/>
    <w:rsid w:val="00DA4035"/>
    <w:rsid w:val="00E17976"/>
    <w:rsid w:val="00E2005F"/>
    <w:rsid w:val="00E21B3D"/>
    <w:rsid w:val="00E27CEA"/>
    <w:rsid w:val="00E36385"/>
    <w:rsid w:val="00E5602F"/>
    <w:rsid w:val="00E67B29"/>
    <w:rsid w:val="00E960C6"/>
    <w:rsid w:val="00EA7779"/>
    <w:rsid w:val="00EB2081"/>
    <w:rsid w:val="00EF030D"/>
    <w:rsid w:val="00F37A21"/>
    <w:rsid w:val="00F42A91"/>
    <w:rsid w:val="00F64699"/>
    <w:rsid w:val="00F93538"/>
    <w:rsid w:val="00FA1A6C"/>
    <w:rsid w:val="00FB0AAB"/>
    <w:rsid w:val="00FB404A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4CEB"/>
  <w15:chartTrackingRefBased/>
  <w15:docId w15:val="{093F8421-F103-4A64-B29C-98F9CA88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6BE"/>
  </w:style>
  <w:style w:type="paragraph" w:styleId="Footer">
    <w:name w:val="footer"/>
    <w:basedOn w:val="Normal"/>
    <w:link w:val="FooterChar"/>
    <w:uiPriority w:val="99"/>
    <w:unhideWhenUsed/>
    <w:rsid w:val="002F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6BE"/>
  </w:style>
  <w:style w:type="character" w:styleId="Hyperlink">
    <w:name w:val="Hyperlink"/>
    <w:basedOn w:val="DefaultParagraphFont"/>
    <w:uiPriority w:val="99"/>
    <w:unhideWhenUsed/>
    <w:rsid w:val="00B65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oncog.2023.1035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concog.2015.01.01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1/psyp.135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3389/fpsyg.2017.0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234/osf.io/r4nz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Jimenez</dc:creator>
  <cp:keywords/>
  <dc:description/>
  <cp:lastModifiedBy>Mikel Jimenez</cp:lastModifiedBy>
  <cp:revision>12</cp:revision>
  <dcterms:created xsi:type="dcterms:W3CDTF">2024-04-30T13:16:00Z</dcterms:created>
  <dcterms:modified xsi:type="dcterms:W3CDTF">2024-05-03T17:15:00Z</dcterms:modified>
</cp:coreProperties>
</file>